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1667" w:rsidRDefault="00E268B2">
      <w:pPr>
        <w:jc w:val="center"/>
        <w:rPr>
          <w:b/>
          <w:bCs/>
          <w:sz w:val="32"/>
          <w:szCs w:val="32"/>
        </w:rPr>
      </w:pPr>
      <w:bookmarkStart w:id="0" w:name="_Toc66889955"/>
      <w:r>
        <w:rPr>
          <w:b/>
          <w:bCs/>
          <w:sz w:val="32"/>
          <w:szCs w:val="32"/>
        </w:rPr>
        <w:t>第二十届江苏省青少年机器人竞赛</w:t>
      </w:r>
    </w:p>
    <w:p w:rsidR="00A41667" w:rsidRDefault="00E268B2">
      <w:pPr>
        <w:jc w:val="center"/>
        <w:rPr>
          <w:rFonts w:hint="eastAsia"/>
          <w:b/>
          <w:bCs/>
          <w:sz w:val="32"/>
          <w:szCs w:val="32"/>
        </w:rPr>
      </w:pPr>
      <w:r>
        <w:rPr>
          <w:b/>
          <w:bCs/>
          <w:sz w:val="32"/>
          <w:szCs w:val="32"/>
        </w:rPr>
        <w:t xml:space="preserve">MakeX </w:t>
      </w:r>
      <w:r>
        <w:rPr>
          <w:rFonts w:hint="eastAsia"/>
          <w:b/>
          <w:bCs/>
          <w:sz w:val="32"/>
          <w:szCs w:val="32"/>
        </w:rPr>
        <w:t>机器人挑战赛中学组比赛规则</w:t>
      </w:r>
      <w:bookmarkStart w:id="1" w:name="_GoBack"/>
      <w:bookmarkEnd w:id="1"/>
    </w:p>
    <w:p w:rsidR="00A41667" w:rsidRDefault="00E268B2">
      <w:pPr>
        <w:pStyle w:val="00-1"/>
        <w:rPr>
          <w:sz w:val="32"/>
          <w:szCs w:val="28"/>
        </w:rPr>
      </w:pPr>
      <w:r>
        <w:rPr>
          <w:rFonts w:hint="eastAsia"/>
          <w:sz w:val="32"/>
          <w:szCs w:val="28"/>
        </w:rPr>
        <w:t>智能制造</w:t>
      </w:r>
    </w:p>
    <w:p w:rsidR="00A41667" w:rsidRDefault="00E268B2">
      <w:pPr>
        <w:pStyle w:val="01"/>
        <w:spacing w:before="158" w:after="158"/>
        <w:rPr>
          <w:color w:val="auto"/>
          <w:sz w:val="27"/>
        </w:rPr>
      </w:pPr>
      <w:r>
        <w:rPr>
          <w:rFonts w:eastAsia="Times New Roman"/>
          <w:color w:val="auto"/>
        </w:rPr>
        <w:t>1</w:t>
      </w:r>
      <w:r>
        <w:rPr>
          <w:rFonts w:hint="eastAsia"/>
          <w:color w:val="auto"/>
        </w:rPr>
        <w:t xml:space="preserve"> </w:t>
      </w:r>
      <w:r>
        <w:rPr>
          <w:color w:val="auto"/>
        </w:rPr>
        <w:t>赛事介绍</w:t>
      </w:r>
      <w:bookmarkEnd w:id="0"/>
    </w:p>
    <w:p w:rsidR="00A41667" w:rsidRDefault="00E268B2">
      <w:pPr>
        <w:pStyle w:val="02"/>
        <w:rPr>
          <w:color w:val="auto"/>
        </w:rPr>
      </w:pPr>
      <w:bookmarkStart w:id="2" w:name="_Toc66889956"/>
      <w:r>
        <w:rPr>
          <w:color w:val="auto"/>
        </w:rPr>
        <w:t>1.1</w:t>
      </w:r>
      <w:r>
        <w:rPr>
          <w:rFonts w:hint="eastAsia"/>
          <w:color w:val="auto"/>
        </w:rPr>
        <w:t xml:space="preserve"> </w:t>
      </w:r>
      <w:r>
        <w:rPr>
          <w:color w:val="auto"/>
        </w:rPr>
        <w:t xml:space="preserve">MakeX </w:t>
      </w:r>
      <w:r>
        <w:rPr>
          <w:color w:val="auto"/>
        </w:rPr>
        <w:t>机器人挑战赛</w:t>
      </w:r>
      <w:bookmarkEnd w:id="2"/>
    </w:p>
    <w:p w:rsidR="00A41667" w:rsidRDefault="00E268B2">
      <w:pPr>
        <w:pStyle w:val="05"/>
        <w:ind w:firstLine="420"/>
        <w:rPr>
          <w:color w:val="auto"/>
        </w:rPr>
      </w:pPr>
      <w:r>
        <w:rPr>
          <w:color w:val="auto"/>
        </w:rPr>
        <w:t xml:space="preserve">MakeX </w:t>
      </w:r>
      <w:r>
        <w:rPr>
          <w:color w:val="auto"/>
        </w:rPr>
        <w:t>是一个引导青少年成长的机器人赛事平台，旨在通过机器人挑战赛、</w:t>
      </w:r>
      <w:r>
        <w:rPr>
          <w:color w:val="auto"/>
        </w:rPr>
        <w:t xml:space="preserve">STEAM </w:t>
      </w:r>
      <w:r>
        <w:rPr>
          <w:color w:val="auto"/>
        </w:rPr>
        <w:t>嘉年华等形式，激发广大青少年对科学技术的热情，让他们感悟创造、协作、快乐、分享的精神。</w:t>
      </w:r>
      <w:r>
        <w:rPr>
          <w:color w:val="auto"/>
        </w:rPr>
        <w:t xml:space="preserve">MakeX </w:t>
      </w:r>
      <w:r>
        <w:rPr>
          <w:color w:val="auto"/>
        </w:rPr>
        <w:t>致力于用高水平赛事活动推动科技和教育创新，以有趣又有挑战性的比赛引导青少年系统学习科学（</w:t>
      </w:r>
      <w:r>
        <w:rPr>
          <w:color w:val="auto"/>
        </w:rPr>
        <w:t>S</w:t>
      </w:r>
      <w:r>
        <w:rPr>
          <w:color w:val="auto"/>
        </w:rPr>
        <w:t>）、技术（</w:t>
      </w:r>
      <w:r>
        <w:rPr>
          <w:color w:val="auto"/>
        </w:rPr>
        <w:t>T</w:t>
      </w:r>
      <w:r>
        <w:rPr>
          <w:color w:val="auto"/>
        </w:rPr>
        <w:t>）、工程（</w:t>
      </w:r>
      <w:r>
        <w:rPr>
          <w:color w:val="auto"/>
        </w:rPr>
        <w:t>E</w:t>
      </w:r>
      <w:r>
        <w:rPr>
          <w:color w:val="auto"/>
        </w:rPr>
        <w:t>）、艺术（</w:t>
      </w:r>
      <w:r>
        <w:rPr>
          <w:color w:val="auto"/>
        </w:rPr>
        <w:t>A</w:t>
      </w:r>
      <w:r>
        <w:rPr>
          <w:color w:val="auto"/>
        </w:rPr>
        <w:t>）和数学（</w:t>
      </w:r>
      <w:r>
        <w:rPr>
          <w:color w:val="auto"/>
        </w:rPr>
        <w:t>M</w:t>
      </w:r>
      <w:r>
        <w:rPr>
          <w:color w:val="auto"/>
        </w:rPr>
        <w:t>）等多领域知识。</w:t>
      </w:r>
    </w:p>
    <w:p w:rsidR="00A41667" w:rsidRDefault="00E268B2">
      <w:pPr>
        <w:pStyle w:val="02"/>
        <w:rPr>
          <w:color w:val="auto"/>
        </w:rPr>
      </w:pPr>
      <w:bookmarkStart w:id="3" w:name="_Toc66889957"/>
      <w:r>
        <w:rPr>
          <w:rFonts w:eastAsia="Times New Roman"/>
          <w:color w:val="auto"/>
        </w:rPr>
        <w:t>1.2</w:t>
      </w:r>
      <w:r>
        <w:rPr>
          <w:rFonts w:hint="eastAsia"/>
          <w:color w:val="auto"/>
        </w:rPr>
        <w:t xml:space="preserve"> </w:t>
      </w:r>
      <w:r>
        <w:rPr>
          <w:color w:val="auto"/>
        </w:rPr>
        <w:t>赛事精神</w:t>
      </w:r>
      <w:bookmarkEnd w:id="3"/>
    </w:p>
    <w:p w:rsidR="00A41667" w:rsidRDefault="00E268B2">
      <w:pPr>
        <w:pStyle w:val="05"/>
        <w:ind w:firstLine="422"/>
        <w:rPr>
          <w:color w:val="auto"/>
        </w:rPr>
      </w:pPr>
      <w:r>
        <w:rPr>
          <w:b/>
          <w:color w:val="auto"/>
        </w:rPr>
        <w:t>创造</w:t>
      </w:r>
      <w:r>
        <w:rPr>
          <w:color w:val="auto"/>
        </w:rPr>
        <w:t>：我们倡导求知、创新，鼓励所有选手发挥才智，动手创造自己独特的科技作品，</w:t>
      </w:r>
      <w:r>
        <w:rPr>
          <w:color w:val="auto"/>
        </w:rPr>
        <w:t xml:space="preserve"> </w:t>
      </w:r>
      <w:r>
        <w:rPr>
          <w:color w:val="auto"/>
        </w:rPr>
        <w:t>敢于挑战自我、不断进步！</w:t>
      </w:r>
    </w:p>
    <w:p w:rsidR="00A41667" w:rsidRDefault="00E268B2">
      <w:pPr>
        <w:pStyle w:val="05"/>
        <w:ind w:firstLine="422"/>
        <w:rPr>
          <w:color w:val="auto"/>
        </w:rPr>
      </w:pPr>
      <w:r>
        <w:rPr>
          <w:b/>
          <w:color w:val="auto"/>
        </w:rPr>
        <w:t>协作：</w:t>
      </w:r>
      <w:r>
        <w:rPr>
          <w:color w:val="auto"/>
        </w:rPr>
        <w:t>我们倡导团结、友爱，鼓励所有选手具备责任心与进取精神，与合作伙伴精诚协作，实现共赢！</w:t>
      </w:r>
    </w:p>
    <w:p w:rsidR="00A41667" w:rsidRDefault="00E268B2">
      <w:pPr>
        <w:pStyle w:val="05"/>
        <w:ind w:firstLine="422"/>
        <w:rPr>
          <w:color w:val="auto"/>
        </w:rPr>
      </w:pPr>
      <w:r>
        <w:rPr>
          <w:b/>
          <w:color w:val="auto"/>
        </w:rPr>
        <w:t>快乐：</w:t>
      </w:r>
      <w:r>
        <w:rPr>
          <w:color w:val="auto"/>
        </w:rPr>
        <w:t>我们鼓励选手树立健康、乐观的竞技心态，在拼搏中品味快乐与成长</w:t>
      </w:r>
      <w:r>
        <w:rPr>
          <w:color w:val="auto"/>
        </w:rPr>
        <w:t>,</w:t>
      </w:r>
      <w:r>
        <w:rPr>
          <w:color w:val="auto"/>
        </w:rPr>
        <w:t>收获知识与友谊，为人生</w:t>
      </w:r>
      <w:r>
        <w:rPr>
          <w:rFonts w:hint="eastAsia"/>
          <w:color w:val="auto"/>
        </w:rPr>
        <w:t>增添一道靓丽的光彩！</w:t>
      </w:r>
    </w:p>
    <w:p w:rsidR="00A41667" w:rsidRDefault="00E268B2">
      <w:pPr>
        <w:pStyle w:val="05"/>
        <w:ind w:firstLine="422"/>
        <w:rPr>
          <w:color w:val="auto"/>
        </w:rPr>
      </w:pPr>
      <w:r>
        <w:rPr>
          <w:b/>
          <w:color w:val="auto"/>
        </w:rPr>
        <w:t>分享：</w:t>
      </w:r>
      <w:r>
        <w:rPr>
          <w:color w:val="auto"/>
        </w:rPr>
        <w:t>我们鼓励选手时刻展现开放的心态，乐于向同伴、对手及社会分享自己的知识、责任与喜悦！</w:t>
      </w:r>
    </w:p>
    <w:p w:rsidR="00A41667" w:rsidRDefault="00E268B2">
      <w:pPr>
        <w:pStyle w:val="05"/>
        <w:ind w:firstLine="420"/>
        <w:rPr>
          <w:color w:val="auto"/>
        </w:rPr>
      </w:pPr>
      <w:r>
        <w:rPr>
          <w:rFonts w:hint="eastAsia"/>
          <w:color w:val="auto"/>
        </w:rPr>
        <w:t>MakeX</w:t>
      </w:r>
      <w:r>
        <w:rPr>
          <w:rFonts w:hint="eastAsia"/>
          <w:color w:val="auto"/>
        </w:rPr>
        <w:t>赛事精神是</w:t>
      </w:r>
      <w:r>
        <w:rPr>
          <w:rFonts w:hint="eastAsia"/>
          <w:color w:val="auto"/>
        </w:rPr>
        <w:t>MakeX</w:t>
      </w:r>
      <w:r>
        <w:rPr>
          <w:rFonts w:hint="eastAsia"/>
          <w:color w:val="auto"/>
        </w:rPr>
        <w:t>机器人挑战赛的文化基石。我们希望为所有参赛选手、老师及行业专家提供一个交流、学习和成长的</w:t>
      </w:r>
      <w:r>
        <w:rPr>
          <w:rFonts w:hint="eastAsia"/>
          <w:color w:val="auto"/>
        </w:rPr>
        <w:t>平台，帮助孩子们在创造中学习新技能，在写作中懂得尊重他人，在竞赛中获得一份快乐的人生体验，并乐于想社会分享自己的知识与责任，树立改变世界、创造未来的宏伟志向！</w:t>
      </w:r>
    </w:p>
    <w:p w:rsidR="00A41667" w:rsidRDefault="00E268B2">
      <w:pPr>
        <w:pStyle w:val="02"/>
        <w:rPr>
          <w:color w:val="auto"/>
        </w:rPr>
      </w:pPr>
      <w:bookmarkStart w:id="4" w:name="_Toc66889958"/>
      <w:r>
        <w:rPr>
          <w:rFonts w:eastAsia="Times New Roman"/>
          <w:color w:val="auto"/>
        </w:rPr>
        <w:t>1.3</w:t>
      </w:r>
      <w:r>
        <w:rPr>
          <w:rFonts w:hint="eastAsia"/>
          <w:color w:val="auto"/>
        </w:rPr>
        <w:t xml:space="preserve"> </w:t>
      </w:r>
      <w:r>
        <w:rPr>
          <w:color w:val="auto"/>
        </w:rPr>
        <w:t>比赛主题</w:t>
      </w:r>
      <w:bookmarkEnd w:id="4"/>
    </w:p>
    <w:p w:rsidR="00A41667" w:rsidRDefault="00E268B2">
      <w:pPr>
        <w:pStyle w:val="05"/>
        <w:ind w:firstLine="420"/>
        <w:rPr>
          <w:color w:val="auto"/>
        </w:rPr>
      </w:pPr>
      <w:r>
        <w:rPr>
          <w:rFonts w:eastAsia="Times New Roman"/>
          <w:color w:val="auto"/>
        </w:rPr>
        <w:t xml:space="preserve">2021 </w:t>
      </w:r>
      <w:r>
        <w:rPr>
          <w:color w:val="auto"/>
        </w:rPr>
        <w:t>赛季</w:t>
      </w:r>
      <w:r>
        <w:rPr>
          <w:color w:val="auto"/>
        </w:rPr>
        <w:t xml:space="preserve"> </w:t>
      </w:r>
      <w:r>
        <w:rPr>
          <w:rFonts w:eastAsia="Times New Roman"/>
          <w:color w:val="auto"/>
        </w:rPr>
        <w:t xml:space="preserve">MakeX </w:t>
      </w:r>
      <w:r>
        <w:rPr>
          <w:color w:val="auto"/>
        </w:rPr>
        <w:t>的比赛主题为</w:t>
      </w:r>
      <w:r>
        <w:rPr>
          <w:color w:val="auto"/>
        </w:rPr>
        <w:t>“</w:t>
      </w:r>
      <w:r>
        <w:rPr>
          <w:color w:val="auto"/>
        </w:rPr>
        <w:t>智能制造</w:t>
      </w:r>
      <w:r>
        <w:rPr>
          <w:color w:val="auto"/>
        </w:rPr>
        <w:t>”</w:t>
      </w:r>
      <w:r>
        <w:rPr>
          <w:color w:val="auto"/>
        </w:rPr>
        <w:t>。工业是现代经济发展的命脉，然而传统制造设施正在受到挑战，将逐渐被智能、现代化的制造设备代替。</w:t>
      </w:r>
      <w:r>
        <w:rPr>
          <w:rFonts w:eastAsia="Times New Roman"/>
          <w:color w:val="auto"/>
        </w:rPr>
        <w:t xml:space="preserve">MakeX </w:t>
      </w:r>
      <w:r>
        <w:rPr>
          <w:color w:val="auto"/>
        </w:rPr>
        <w:t>挑战赛的故事发生在一个巨大的工厂中，两支参赛队相互竞争，又相互协作，完成分拣优质品和残次品、清除废料、投放原料到对方熔炉等任务，以达到高质量现代化生产的目标。</w:t>
      </w:r>
    </w:p>
    <w:p w:rsidR="00A41667" w:rsidRDefault="00E268B2">
      <w:pPr>
        <w:pStyle w:val="02"/>
        <w:rPr>
          <w:color w:val="auto"/>
        </w:rPr>
      </w:pPr>
      <w:bookmarkStart w:id="5" w:name="_Toc66889959"/>
      <w:r>
        <w:rPr>
          <w:rFonts w:eastAsia="Times New Roman"/>
          <w:color w:val="auto"/>
        </w:rPr>
        <w:t>1.4</w:t>
      </w:r>
      <w:r>
        <w:rPr>
          <w:rFonts w:hint="eastAsia"/>
          <w:color w:val="auto"/>
        </w:rPr>
        <w:t xml:space="preserve"> </w:t>
      </w:r>
      <w:r>
        <w:rPr>
          <w:color w:val="auto"/>
        </w:rPr>
        <w:t>参赛要求</w:t>
      </w:r>
      <w:bookmarkEnd w:id="5"/>
    </w:p>
    <w:p w:rsidR="00A41667" w:rsidRDefault="00E268B2">
      <w:pPr>
        <w:pStyle w:val="05"/>
        <w:ind w:firstLine="420"/>
        <w:rPr>
          <w:color w:val="auto"/>
        </w:rPr>
      </w:pPr>
      <w:r>
        <w:rPr>
          <w:color w:val="auto"/>
        </w:rPr>
        <w:t xml:space="preserve">11~18 </w:t>
      </w:r>
      <w:r>
        <w:rPr>
          <w:color w:val="auto"/>
        </w:rPr>
        <w:t>岁（含</w:t>
      </w:r>
      <w:r>
        <w:rPr>
          <w:color w:val="auto"/>
        </w:rPr>
        <w:t xml:space="preserve"> 11 </w:t>
      </w:r>
      <w:r>
        <w:rPr>
          <w:color w:val="auto"/>
        </w:rPr>
        <w:t>和</w:t>
      </w:r>
      <w:r>
        <w:rPr>
          <w:color w:val="auto"/>
        </w:rPr>
        <w:t xml:space="preserve"> 18 </w:t>
      </w:r>
      <w:r>
        <w:rPr>
          <w:color w:val="auto"/>
        </w:rPr>
        <w:t>岁）的青少年且</w:t>
      </w:r>
      <w:r>
        <w:rPr>
          <w:color w:val="auto"/>
        </w:rPr>
        <w:t xml:space="preserve"> 2021</w:t>
      </w:r>
      <w:r>
        <w:rPr>
          <w:color w:val="auto"/>
        </w:rPr>
        <w:t>年</w:t>
      </w:r>
      <w:r>
        <w:rPr>
          <w:color w:val="auto"/>
        </w:rPr>
        <w:t xml:space="preserve"> 6 </w:t>
      </w:r>
      <w:r>
        <w:rPr>
          <w:color w:val="auto"/>
        </w:rPr>
        <w:t>月前仍在校就读的中学生（国外参赛队员只需年龄符合要求）均可参加。每支参赛队学生队员</w:t>
      </w:r>
      <w:r>
        <w:rPr>
          <w:color w:val="auto"/>
        </w:rPr>
        <w:t xml:space="preserve"> 2</w:t>
      </w:r>
      <w:r>
        <w:rPr>
          <w:color w:val="auto"/>
        </w:rPr>
        <w:t>～</w:t>
      </w:r>
      <w:r>
        <w:rPr>
          <w:color w:val="auto"/>
        </w:rPr>
        <w:t xml:space="preserve">3 </w:t>
      </w:r>
      <w:r>
        <w:rPr>
          <w:color w:val="auto"/>
        </w:rPr>
        <w:t>人，指导教师</w:t>
      </w:r>
      <w:r>
        <w:rPr>
          <w:color w:val="auto"/>
        </w:rPr>
        <w:t xml:space="preserve"> 1 </w:t>
      </w:r>
      <w:r>
        <w:rPr>
          <w:color w:val="auto"/>
        </w:rPr>
        <w:t>人。每支参赛队必须拥有一个编号作为该队的唯一识别符号，编号会在报名后自动生成。</w:t>
      </w:r>
    </w:p>
    <w:p w:rsidR="00A41667" w:rsidRDefault="00E268B2">
      <w:pPr>
        <w:pStyle w:val="01"/>
        <w:spacing w:before="158" w:after="158"/>
        <w:rPr>
          <w:color w:val="auto"/>
          <w:sz w:val="27"/>
        </w:rPr>
      </w:pPr>
      <w:bookmarkStart w:id="6" w:name="_Toc66889960"/>
      <w:r>
        <w:rPr>
          <w:rFonts w:eastAsia="Times New Roman"/>
          <w:color w:val="auto"/>
        </w:rPr>
        <w:lastRenderedPageBreak/>
        <w:t>2</w:t>
      </w:r>
      <w:r>
        <w:rPr>
          <w:rFonts w:hint="eastAsia"/>
          <w:color w:val="auto"/>
        </w:rPr>
        <w:t xml:space="preserve"> </w:t>
      </w:r>
      <w:r>
        <w:rPr>
          <w:color w:val="auto"/>
        </w:rPr>
        <w:t>名词术语</w:t>
      </w:r>
      <w:bookmarkEnd w:id="6"/>
    </w:p>
    <w:p w:rsidR="00A41667" w:rsidRDefault="00E268B2">
      <w:pPr>
        <w:pStyle w:val="02"/>
        <w:rPr>
          <w:color w:val="auto"/>
        </w:rPr>
      </w:pPr>
      <w:bookmarkStart w:id="7" w:name="_Toc66889961"/>
      <w:r>
        <w:rPr>
          <w:color w:val="auto"/>
        </w:rPr>
        <w:t>2.1</w:t>
      </w:r>
      <w:r>
        <w:rPr>
          <w:rFonts w:hint="eastAsia"/>
          <w:color w:val="auto"/>
        </w:rPr>
        <w:t xml:space="preserve"> </w:t>
      </w:r>
      <w:r>
        <w:rPr>
          <w:color w:val="auto"/>
        </w:rPr>
        <w:t>场地</w:t>
      </w:r>
      <w:bookmarkEnd w:id="7"/>
    </w:p>
    <w:p w:rsidR="00A41667" w:rsidRDefault="00E268B2">
      <w:pPr>
        <w:pStyle w:val="05"/>
        <w:ind w:firstLine="422"/>
        <w:rPr>
          <w:color w:val="auto"/>
        </w:rPr>
      </w:pPr>
      <w:r>
        <w:rPr>
          <w:b/>
          <w:color w:val="auto"/>
        </w:rPr>
        <w:t>场地要素</w:t>
      </w:r>
      <w:r>
        <w:rPr>
          <w:b/>
          <w:color w:val="auto"/>
        </w:rPr>
        <w:t>—</w:t>
      </w:r>
      <w:r>
        <w:rPr>
          <w:color w:val="auto"/>
        </w:rPr>
        <w:t>组成比赛场地的所有部件的总称，包括但不限于地图、场地框架、比赛用品、得分物品等。</w:t>
      </w:r>
    </w:p>
    <w:p w:rsidR="00A41667" w:rsidRDefault="00E268B2">
      <w:pPr>
        <w:pStyle w:val="05"/>
        <w:ind w:firstLine="422"/>
        <w:rPr>
          <w:color w:val="auto"/>
        </w:rPr>
      </w:pPr>
      <w:r>
        <w:rPr>
          <w:b/>
          <w:color w:val="auto"/>
        </w:rPr>
        <w:t>置物筐</w:t>
      </w:r>
      <w:r>
        <w:rPr>
          <w:b/>
          <w:color w:val="auto"/>
        </w:rPr>
        <w:t>—</w:t>
      </w:r>
      <w:r>
        <w:rPr>
          <w:color w:val="auto"/>
        </w:rPr>
        <w:t>放置在赛场框架上的铁筐，用于在比赛中放置遥控器。</w:t>
      </w:r>
    </w:p>
    <w:p w:rsidR="00A41667" w:rsidRDefault="00E268B2">
      <w:pPr>
        <w:pStyle w:val="05"/>
        <w:ind w:firstLine="422"/>
        <w:rPr>
          <w:color w:val="auto"/>
        </w:rPr>
      </w:pPr>
      <w:r>
        <w:rPr>
          <w:b/>
          <w:color w:val="auto"/>
        </w:rPr>
        <w:t>场地框架</w:t>
      </w:r>
      <w:r>
        <w:rPr>
          <w:b/>
          <w:color w:val="auto"/>
        </w:rPr>
        <w:t>—</w:t>
      </w:r>
      <w:r>
        <w:rPr>
          <w:color w:val="auto"/>
        </w:rPr>
        <w:t>使用铝型材和八棱柱拼接而成的场地框架。</w:t>
      </w:r>
    </w:p>
    <w:p w:rsidR="00A41667" w:rsidRDefault="00E268B2">
      <w:pPr>
        <w:pStyle w:val="05"/>
        <w:ind w:firstLine="422"/>
        <w:rPr>
          <w:color w:val="auto"/>
        </w:rPr>
      </w:pPr>
      <w:r>
        <w:rPr>
          <w:b/>
          <w:color w:val="auto"/>
        </w:rPr>
        <w:t>比赛用品</w:t>
      </w:r>
      <w:r>
        <w:rPr>
          <w:color w:val="auto"/>
        </w:rPr>
        <w:t>—</w:t>
      </w:r>
      <w:r>
        <w:rPr>
          <w:color w:val="auto"/>
        </w:rPr>
        <w:t>机器人在完成任</w:t>
      </w:r>
      <w:r>
        <w:rPr>
          <w:color w:val="auto"/>
        </w:rPr>
        <w:t>务过程中会接触和使用的物体。</w:t>
      </w:r>
    </w:p>
    <w:p w:rsidR="00A41667" w:rsidRDefault="00E268B2">
      <w:pPr>
        <w:pStyle w:val="05"/>
        <w:ind w:firstLine="422"/>
        <w:rPr>
          <w:color w:val="auto"/>
        </w:rPr>
      </w:pPr>
      <w:r>
        <w:rPr>
          <w:b/>
          <w:color w:val="auto"/>
        </w:rPr>
        <w:t>得分物品</w:t>
      </w:r>
      <w:r>
        <w:rPr>
          <w:color w:val="auto"/>
        </w:rPr>
        <w:t>—</w:t>
      </w:r>
      <w:r>
        <w:rPr>
          <w:color w:val="auto"/>
        </w:rPr>
        <w:t>机器人在完成任务时会改变某些物体的状态和</w:t>
      </w:r>
      <w:r>
        <w:rPr>
          <w:color w:val="auto"/>
        </w:rPr>
        <w:t>/</w:t>
      </w:r>
      <w:r>
        <w:rPr>
          <w:color w:val="auto"/>
        </w:rPr>
        <w:t>或位置而得分，这些物体就是得分物品。</w:t>
      </w:r>
    </w:p>
    <w:p w:rsidR="00A41667" w:rsidRDefault="00E268B2">
      <w:pPr>
        <w:pStyle w:val="05"/>
        <w:ind w:firstLine="422"/>
        <w:rPr>
          <w:color w:val="auto"/>
        </w:rPr>
      </w:pPr>
      <w:r>
        <w:rPr>
          <w:b/>
          <w:color w:val="auto"/>
        </w:rPr>
        <w:t>比赛地图</w:t>
      </w:r>
      <w:r>
        <w:rPr>
          <w:b/>
          <w:color w:val="auto"/>
        </w:rPr>
        <w:t>—</w:t>
      </w:r>
      <w:r>
        <w:rPr>
          <w:color w:val="auto"/>
        </w:rPr>
        <w:t>印刷有比赛任务、标志、引导线等必要信息的彩色喷绘图。</w:t>
      </w:r>
    </w:p>
    <w:p w:rsidR="00A41667" w:rsidRDefault="00E268B2">
      <w:pPr>
        <w:pStyle w:val="05"/>
        <w:ind w:firstLine="422"/>
        <w:rPr>
          <w:color w:val="auto"/>
        </w:rPr>
      </w:pPr>
      <w:r>
        <w:rPr>
          <w:b/>
          <w:color w:val="auto"/>
        </w:rPr>
        <w:t>地面</w:t>
      </w:r>
      <w:r>
        <w:rPr>
          <w:b/>
          <w:color w:val="auto"/>
        </w:rPr>
        <w:t>—</w:t>
      </w:r>
      <w:r>
        <w:rPr>
          <w:color w:val="auto"/>
        </w:rPr>
        <w:t>比赛地图的上表面。</w:t>
      </w:r>
    </w:p>
    <w:p w:rsidR="00A41667" w:rsidRDefault="00E268B2">
      <w:pPr>
        <w:pStyle w:val="05"/>
        <w:ind w:firstLine="422"/>
        <w:rPr>
          <w:color w:val="auto"/>
        </w:rPr>
      </w:pPr>
      <w:r>
        <w:rPr>
          <w:b/>
          <w:color w:val="auto"/>
        </w:rPr>
        <w:t>操作区</w:t>
      </w:r>
      <w:r>
        <w:rPr>
          <w:b/>
          <w:color w:val="auto"/>
        </w:rPr>
        <w:t>—</w:t>
      </w:r>
      <w:r>
        <w:rPr>
          <w:color w:val="auto"/>
        </w:rPr>
        <w:t>允许参赛队活动的区域。</w:t>
      </w:r>
    </w:p>
    <w:p w:rsidR="00A41667" w:rsidRDefault="00E268B2">
      <w:pPr>
        <w:pStyle w:val="05"/>
        <w:ind w:firstLine="422"/>
        <w:rPr>
          <w:color w:val="auto"/>
        </w:rPr>
      </w:pPr>
      <w:r>
        <w:rPr>
          <w:b/>
          <w:color w:val="auto"/>
        </w:rPr>
        <w:t>半场</w:t>
      </w:r>
      <w:r>
        <w:rPr>
          <w:b/>
          <w:color w:val="auto"/>
        </w:rPr>
        <w:t>—</w:t>
      </w:r>
      <w:r>
        <w:rPr>
          <w:color w:val="auto"/>
        </w:rPr>
        <w:t>比赛场地中本联队机器人活动的区域。</w:t>
      </w:r>
    </w:p>
    <w:p w:rsidR="00A41667" w:rsidRDefault="00E268B2">
      <w:pPr>
        <w:pStyle w:val="05"/>
        <w:ind w:firstLine="422"/>
        <w:rPr>
          <w:color w:val="auto"/>
        </w:rPr>
      </w:pPr>
      <w:r>
        <w:rPr>
          <w:b/>
          <w:color w:val="auto"/>
        </w:rPr>
        <w:t>比赛系统</w:t>
      </w:r>
      <w:r>
        <w:rPr>
          <w:b/>
          <w:color w:val="auto"/>
        </w:rPr>
        <w:t>—</w:t>
      </w:r>
      <w:r>
        <w:rPr>
          <w:color w:val="auto"/>
        </w:rPr>
        <w:t>为保证比赛的公平及秩序而开发的硬件和软件。</w:t>
      </w:r>
    </w:p>
    <w:p w:rsidR="00A41667" w:rsidRDefault="00E268B2">
      <w:pPr>
        <w:pStyle w:val="02"/>
        <w:rPr>
          <w:color w:val="auto"/>
        </w:rPr>
      </w:pPr>
      <w:bookmarkStart w:id="8" w:name="_Toc66889962"/>
      <w:r>
        <w:rPr>
          <w:color w:val="auto"/>
        </w:rPr>
        <w:t>2.2</w:t>
      </w:r>
      <w:r>
        <w:rPr>
          <w:rFonts w:hint="eastAsia"/>
          <w:color w:val="auto"/>
        </w:rPr>
        <w:t xml:space="preserve"> </w:t>
      </w:r>
      <w:r>
        <w:rPr>
          <w:color w:val="auto"/>
        </w:rPr>
        <w:t>角色</w:t>
      </w:r>
      <w:bookmarkEnd w:id="8"/>
    </w:p>
    <w:p w:rsidR="00A41667" w:rsidRDefault="00E268B2">
      <w:pPr>
        <w:pStyle w:val="05"/>
        <w:ind w:firstLine="422"/>
        <w:rPr>
          <w:color w:val="auto"/>
        </w:rPr>
      </w:pPr>
      <w:r>
        <w:rPr>
          <w:b/>
          <w:color w:val="auto"/>
        </w:rPr>
        <w:t>裁判</w:t>
      </w:r>
      <w:r>
        <w:rPr>
          <w:color w:val="auto"/>
        </w:rPr>
        <w:t>—</w:t>
      </w:r>
      <w:r>
        <w:rPr>
          <w:color w:val="auto"/>
        </w:rPr>
        <w:t>在比赛中秉持公正原则、管理比赛秩序、执行比赛规则、维护赛事精神的人员。</w:t>
      </w:r>
    </w:p>
    <w:p w:rsidR="00A41667" w:rsidRDefault="00E268B2">
      <w:pPr>
        <w:pStyle w:val="05"/>
        <w:ind w:firstLine="422"/>
        <w:rPr>
          <w:color w:val="auto"/>
        </w:rPr>
      </w:pPr>
      <w:r>
        <w:rPr>
          <w:b/>
          <w:color w:val="auto"/>
        </w:rPr>
        <w:t>工作人员</w:t>
      </w:r>
      <w:r>
        <w:rPr>
          <w:color w:val="auto"/>
        </w:rPr>
        <w:t>—</w:t>
      </w:r>
      <w:r>
        <w:rPr>
          <w:color w:val="auto"/>
        </w:rPr>
        <w:t>维持比赛正常运行的人员。</w:t>
      </w:r>
    </w:p>
    <w:p w:rsidR="00A41667" w:rsidRDefault="00E268B2">
      <w:pPr>
        <w:pStyle w:val="05"/>
        <w:ind w:firstLine="422"/>
        <w:rPr>
          <w:color w:val="auto"/>
        </w:rPr>
      </w:pPr>
      <w:r>
        <w:rPr>
          <w:b/>
          <w:color w:val="auto"/>
        </w:rPr>
        <w:t>参赛队员</w:t>
      </w:r>
      <w:r>
        <w:rPr>
          <w:color w:val="auto"/>
        </w:rPr>
        <w:t>—</w:t>
      </w:r>
      <w:r>
        <w:rPr>
          <w:color w:val="auto"/>
        </w:rPr>
        <w:t>注册报名并参加</w:t>
      </w:r>
      <w:r>
        <w:rPr>
          <w:color w:val="auto"/>
        </w:rPr>
        <w:t xml:space="preserve"> MakeX </w:t>
      </w:r>
      <w:r>
        <w:rPr>
          <w:color w:val="auto"/>
        </w:rPr>
        <w:t>机器人挑战赛</w:t>
      </w:r>
      <w:r>
        <w:rPr>
          <w:color w:val="auto"/>
        </w:rPr>
        <w:t>“</w:t>
      </w:r>
      <w:r>
        <w:rPr>
          <w:color w:val="auto"/>
        </w:rPr>
        <w:t>智能制造</w:t>
      </w:r>
      <w:r>
        <w:rPr>
          <w:color w:val="auto"/>
        </w:rPr>
        <w:t>”</w:t>
      </w:r>
      <w:r>
        <w:rPr>
          <w:color w:val="auto"/>
        </w:rPr>
        <w:t>的学生队员。</w:t>
      </w:r>
    </w:p>
    <w:p w:rsidR="00A41667" w:rsidRDefault="00E268B2">
      <w:pPr>
        <w:pStyle w:val="05"/>
        <w:ind w:firstLine="422"/>
        <w:rPr>
          <w:color w:val="auto"/>
        </w:rPr>
      </w:pPr>
      <w:r>
        <w:rPr>
          <w:b/>
          <w:color w:val="auto"/>
        </w:rPr>
        <w:t>指导教师</w:t>
      </w:r>
      <w:r>
        <w:rPr>
          <w:color w:val="auto"/>
        </w:rPr>
        <w:t>—</w:t>
      </w:r>
      <w:r>
        <w:rPr>
          <w:color w:val="auto"/>
        </w:rPr>
        <w:t>率队参加</w:t>
      </w:r>
      <w:r>
        <w:rPr>
          <w:color w:val="auto"/>
        </w:rPr>
        <w:t xml:space="preserve"> MakeX </w:t>
      </w:r>
      <w:r>
        <w:rPr>
          <w:color w:val="auto"/>
        </w:rPr>
        <w:t>机器人挑战赛</w:t>
      </w:r>
      <w:r>
        <w:rPr>
          <w:color w:val="auto"/>
        </w:rPr>
        <w:t>“</w:t>
      </w:r>
      <w:r>
        <w:rPr>
          <w:color w:val="auto"/>
        </w:rPr>
        <w:t>智能制造</w:t>
      </w:r>
      <w:r>
        <w:rPr>
          <w:color w:val="auto"/>
        </w:rPr>
        <w:t>”</w:t>
      </w:r>
      <w:r>
        <w:rPr>
          <w:color w:val="auto"/>
        </w:rPr>
        <w:t>的教师。</w:t>
      </w:r>
    </w:p>
    <w:p w:rsidR="00A41667" w:rsidRDefault="00E268B2">
      <w:pPr>
        <w:pStyle w:val="05"/>
        <w:ind w:firstLine="422"/>
        <w:rPr>
          <w:color w:val="auto"/>
        </w:rPr>
      </w:pPr>
      <w:r>
        <w:rPr>
          <w:b/>
          <w:color w:val="auto"/>
        </w:rPr>
        <w:t>参赛队</w:t>
      </w:r>
      <w:r>
        <w:rPr>
          <w:color w:val="auto"/>
        </w:rPr>
        <w:t>—</w:t>
      </w:r>
      <w:r>
        <w:rPr>
          <w:color w:val="auto"/>
        </w:rPr>
        <w:t>由注册报名并参加</w:t>
      </w:r>
      <w:r>
        <w:rPr>
          <w:color w:val="auto"/>
        </w:rPr>
        <w:t xml:space="preserve"> MakeX </w:t>
      </w:r>
      <w:r>
        <w:rPr>
          <w:color w:val="auto"/>
        </w:rPr>
        <w:t>机器人挑战赛</w:t>
      </w:r>
      <w:r>
        <w:rPr>
          <w:color w:val="auto"/>
        </w:rPr>
        <w:t>“</w:t>
      </w:r>
      <w:r>
        <w:rPr>
          <w:color w:val="auto"/>
        </w:rPr>
        <w:t>智能制造</w:t>
      </w:r>
      <w:r>
        <w:rPr>
          <w:color w:val="auto"/>
        </w:rPr>
        <w:t>”</w:t>
      </w:r>
      <w:r>
        <w:rPr>
          <w:color w:val="auto"/>
        </w:rPr>
        <w:t>的学生队员和指导教师组成的团队。</w:t>
      </w:r>
    </w:p>
    <w:p w:rsidR="00A41667" w:rsidRDefault="00E268B2">
      <w:pPr>
        <w:pStyle w:val="05"/>
        <w:ind w:firstLine="422"/>
        <w:rPr>
          <w:color w:val="auto"/>
        </w:rPr>
      </w:pPr>
      <w:r>
        <w:rPr>
          <w:b/>
          <w:color w:val="auto"/>
        </w:rPr>
        <w:t>联队</w:t>
      </w:r>
      <w:r>
        <w:rPr>
          <w:color w:val="auto"/>
        </w:rPr>
        <w:t>—</w:t>
      </w:r>
      <w:r>
        <w:rPr>
          <w:color w:val="auto"/>
        </w:rPr>
        <w:t>预先指定的两支参赛队组成的团队，在一场比赛中协同工作。正式赛中的联队是随机搭配的两支参赛队组成的联盟。</w:t>
      </w:r>
    </w:p>
    <w:p w:rsidR="00A41667" w:rsidRDefault="00E268B2">
      <w:pPr>
        <w:pStyle w:val="05"/>
        <w:ind w:firstLine="422"/>
        <w:rPr>
          <w:color w:val="auto"/>
        </w:rPr>
      </w:pPr>
      <w:r>
        <w:rPr>
          <w:b/>
          <w:color w:val="auto"/>
        </w:rPr>
        <w:t>联队队长</w:t>
      </w:r>
      <w:r>
        <w:rPr>
          <w:color w:val="auto"/>
        </w:rPr>
        <w:t>—</w:t>
      </w:r>
      <w:r>
        <w:rPr>
          <w:color w:val="auto"/>
        </w:rPr>
        <w:t>组成联队的两支参赛队选出一位场上队员为联队队长。</w:t>
      </w:r>
    </w:p>
    <w:p w:rsidR="00A41667" w:rsidRDefault="00E268B2">
      <w:pPr>
        <w:pStyle w:val="05"/>
        <w:ind w:firstLine="422"/>
        <w:rPr>
          <w:color w:val="auto"/>
        </w:rPr>
      </w:pPr>
      <w:r>
        <w:rPr>
          <w:b/>
          <w:color w:val="auto"/>
        </w:rPr>
        <w:t>操作手</w:t>
      </w:r>
      <w:r>
        <w:rPr>
          <w:color w:val="auto"/>
        </w:rPr>
        <w:t>—</w:t>
      </w:r>
      <w:r>
        <w:rPr>
          <w:color w:val="auto"/>
        </w:rPr>
        <w:t>操作机器人的参赛队员，每支联队</w:t>
      </w:r>
      <w:r>
        <w:rPr>
          <w:color w:val="auto"/>
        </w:rPr>
        <w:t xml:space="preserve"> 2 </w:t>
      </w:r>
      <w:r>
        <w:rPr>
          <w:color w:val="auto"/>
        </w:rPr>
        <w:t>名操作手，分别来自同联队的</w:t>
      </w:r>
      <w:r>
        <w:rPr>
          <w:color w:val="auto"/>
        </w:rPr>
        <w:t xml:space="preserve"> 2 </w:t>
      </w:r>
      <w:r>
        <w:rPr>
          <w:color w:val="auto"/>
        </w:rPr>
        <w:t>支参赛队。</w:t>
      </w:r>
    </w:p>
    <w:p w:rsidR="00A41667" w:rsidRDefault="00E268B2">
      <w:pPr>
        <w:pStyle w:val="05"/>
        <w:ind w:firstLine="422"/>
        <w:rPr>
          <w:color w:val="auto"/>
        </w:rPr>
      </w:pPr>
      <w:r>
        <w:rPr>
          <w:b/>
          <w:color w:val="auto"/>
        </w:rPr>
        <w:t>观察手</w:t>
      </w:r>
      <w:r>
        <w:rPr>
          <w:color w:val="auto"/>
        </w:rPr>
        <w:t>—</w:t>
      </w:r>
      <w:r>
        <w:rPr>
          <w:color w:val="auto"/>
        </w:rPr>
        <w:t>协助操作手观察得分物品状态并给出建议的学生队员</w:t>
      </w:r>
      <w:r>
        <w:rPr>
          <w:color w:val="auto"/>
        </w:rPr>
        <w:t>，每支联队</w:t>
      </w:r>
      <w:r>
        <w:rPr>
          <w:color w:val="auto"/>
        </w:rPr>
        <w:t xml:space="preserve"> 2 </w:t>
      </w:r>
      <w:r>
        <w:rPr>
          <w:color w:val="auto"/>
        </w:rPr>
        <w:t>名观察手，分别来自同联队的</w:t>
      </w:r>
      <w:r>
        <w:rPr>
          <w:color w:val="auto"/>
        </w:rPr>
        <w:t xml:space="preserve"> 2 </w:t>
      </w:r>
      <w:r>
        <w:rPr>
          <w:color w:val="auto"/>
        </w:rPr>
        <w:t>支参赛队。</w:t>
      </w:r>
    </w:p>
    <w:p w:rsidR="00A41667" w:rsidRDefault="00E268B2">
      <w:pPr>
        <w:pStyle w:val="02"/>
        <w:rPr>
          <w:color w:val="auto"/>
        </w:rPr>
      </w:pPr>
      <w:bookmarkStart w:id="9" w:name="_Toc66889963"/>
      <w:r>
        <w:rPr>
          <w:color w:val="auto"/>
        </w:rPr>
        <w:t>2.3</w:t>
      </w:r>
      <w:r>
        <w:rPr>
          <w:rFonts w:hint="eastAsia"/>
          <w:color w:val="auto"/>
        </w:rPr>
        <w:t xml:space="preserve"> </w:t>
      </w:r>
      <w:r>
        <w:rPr>
          <w:color w:val="auto"/>
        </w:rPr>
        <w:t>裁定</w:t>
      </w:r>
      <w:bookmarkEnd w:id="9"/>
    </w:p>
    <w:p w:rsidR="00A41667" w:rsidRDefault="00E268B2">
      <w:pPr>
        <w:pStyle w:val="05"/>
        <w:ind w:firstLine="422"/>
        <w:rPr>
          <w:color w:val="auto"/>
        </w:rPr>
      </w:pPr>
      <w:r>
        <w:rPr>
          <w:b/>
          <w:color w:val="auto"/>
        </w:rPr>
        <w:t>完全进入</w:t>
      </w:r>
      <w:r>
        <w:rPr>
          <w:b/>
          <w:color w:val="auto"/>
        </w:rPr>
        <w:t>—</w:t>
      </w:r>
      <w:r>
        <w:rPr>
          <w:color w:val="auto"/>
        </w:rPr>
        <w:t>比赛用品、得分物品或机器人的垂直投影完全位于指定区域内。</w:t>
      </w:r>
    </w:p>
    <w:p w:rsidR="00A41667" w:rsidRDefault="00E268B2">
      <w:pPr>
        <w:pStyle w:val="05"/>
        <w:ind w:firstLine="422"/>
        <w:rPr>
          <w:color w:val="auto"/>
        </w:rPr>
      </w:pPr>
      <w:r>
        <w:rPr>
          <w:b/>
          <w:color w:val="auto"/>
        </w:rPr>
        <w:t>部分进入</w:t>
      </w:r>
      <w:r>
        <w:rPr>
          <w:b/>
          <w:color w:val="auto"/>
        </w:rPr>
        <w:t>—</w:t>
      </w:r>
      <w:r>
        <w:rPr>
          <w:color w:val="auto"/>
        </w:rPr>
        <w:t>比赛用品、得分物品或机器人的垂直投影不完全位于指定区域内，但与指定区域有交集。</w:t>
      </w:r>
    </w:p>
    <w:p w:rsidR="00A41667" w:rsidRDefault="00E268B2">
      <w:pPr>
        <w:pStyle w:val="05"/>
        <w:ind w:firstLine="422"/>
        <w:rPr>
          <w:color w:val="auto"/>
        </w:rPr>
      </w:pPr>
      <w:r>
        <w:rPr>
          <w:b/>
          <w:color w:val="auto"/>
        </w:rPr>
        <w:t>完全离开</w:t>
      </w:r>
      <w:r>
        <w:rPr>
          <w:b/>
          <w:color w:val="auto"/>
        </w:rPr>
        <w:t>—</w:t>
      </w:r>
      <w:r>
        <w:rPr>
          <w:color w:val="auto"/>
        </w:rPr>
        <w:t>比赛用品、得分物品或机器人的垂直投影完全在指定区域之外。</w:t>
      </w:r>
    </w:p>
    <w:p w:rsidR="00A41667" w:rsidRDefault="00E268B2">
      <w:pPr>
        <w:pStyle w:val="05"/>
        <w:ind w:firstLine="420"/>
        <w:rPr>
          <w:color w:val="auto"/>
        </w:rPr>
      </w:pPr>
      <w:r>
        <w:rPr>
          <w:color w:val="auto"/>
        </w:rPr>
        <w:t>图</w:t>
      </w:r>
      <w:r>
        <w:rPr>
          <w:color w:val="auto"/>
        </w:rPr>
        <w:t xml:space="preserve"> </w:t>
      </w:r>
      <w:r>
        <w:rPr>
          <w:rFonts w:eastAsia="Times New Roman"/>
          <w:color w:val="auto"/>
        </w:rPr>
        <w:t xml:space="preserve">2.1 </w:t>
      </w:r>
      <w:r>
        <w:rPr>
          <w:color w:val="auto"/>
        </w:rPr>
        <w:t>示出以上三种情况。</w:t>
      </w:r>
    </w:p>
    <w:p w:rsidR="00A41667" w:rsidRDefault="00E268B2">
      <w:pPr>
        <w:pStyle w:val="07"/>
        <w:rPr>
          <w:sz w:val="15"/>
        </w:rPr>
      </w:pPr>
      <w:r>
        <w:rPr>
          <w:noProof/>
          <w:lang w:val="en-US" w:bidi="ar-SA"/>
        </w:rPr>
        <w:lastRenderedPageBreak/>
        <w:drawing>
          <wp:inline distT="0" distB="0" distL="0" distR="0">
            <wp:extent cx="3959860" cy="1517015"/>
            <wp:effectExtent l="0" t="0" r="0" b="0"/>
            <wp:docPr id="1026" name="image1.jpeg"/>
            <wp:cNvGraphicFramePr/>
            <a:graphic xmlns:a="http://schemas.openxmlformats.org/drawingml/2006/main">
              <a:graphicData uri="http://schemas.openxmlformats.org/drawingml/2006/picture">
                <pic:pic xmlns:pic="http://schemas.openxmlformats.org/drawingml/2006/picture">
                  <pic:nvPicPr>
                    <pic:cNvPr id="1026" name="image1.jpeg"/>
                    <pic:cNvPicPr/>
                  </pic:nvPicPr>
                  <pic:blipFill>
                    <a:blip r:embed="rId9" cstate="print"/>
                    <a:srcRect/>
                    <a:stretch>
                      <a:fillRect/>
                    </a:stretch>
                  </pic:blipFill>
                  <pic:spPr>
                    <a:xfrm>
                      <a:off x="0" y="0"/>
                      <a:ext cx="3959860" cy="1517015"/>
                    </a:xfrm>
                    <a:prstGeom prst="rect">
                      <a:avLst/>
                    </a:prstGeom>
                  </pic:spPr>
                </pic:pic>
              </a:graphicData>
            </a:graphic>
          </wp:inline>
        </w:drawing>
      </w:r>
    </w:p>
    <w:p w:rsidR="00A41667" w:rsidRDefault="00E268B2">
      <w:pPr>
        <w:pStyle w:val="06"/>
        <w:rPr>
          <w:color w:val="auto"/>
        </w:rPr>
      </w:pPr>
      <w:r>
        <w:rPr>
          <w:color w:val="auto"/>
        </w:rPr>
        <w:t>图</w:t>
      </w:r>
      <w:r>
        <w:rPr>
          <w:color w:val="auto"/>
        </w:rPr>
        <w:t xml:space="preserve"> 2.1  </w:t>
      </w:r>
      <w:r>
        <w:rPr>
          <w:color w:val="auto"/>
        </w:rPr>
        <w:t>比赛用品、得分物品或机器人与指定区域的相对位置</w:t>
      </w:r>
    </w:p>
    <w:p w:rsidR="00A41667" w:rsidRDefault="00E268B2">
      <w:pPr>
        <w:pStyle w:val="01"/>
        <w:spacing w:before="158" w:after="158"/>
        <w:rPr>
          <w:color w:val="auto"/>
        </w:rPr>
      </w:pPr>
      <w:bookmarkStart w:id="10" w:name="_Toc66889964"/>
      <w:r>
        <w:rPr>
          <w:color w:val="auto"/>
        </w:rPr>
        <w:t>3</w:t>
      </w:r>
      <w:r>
        <w:rPr>
          <w:rFonts w:hint="eastAsia"/>
          <w:color w:val="auto"/>
        </w:rPr>
        <w:t xml:space="preserve"> </w:t>
      </w:r>
      <w:r>
        <w:rPr>
          <w:color w:val="auto"/>
        </w:rPr>
        <w:t>比赛概要</w:t>
      </w:r>
      <w:bookmarkEnd w:id="10"/>
    </w:p>
    <w:p w:rsidR="00A41667" w:rsidRDefault="00E268B2">
      <w:pPr>
        <w:pStyle w:val="02"/>
        <w:rPr>
          <w:color w:val="auto"/>
        </w:rPr>
      </w:pPr>
      <w:bookmarkStart w:id="11" w:name="_Toc66889965"/>
      <w:r>
        <w:rPr>
          <w:rFonts w:eastAsia="Times New Roman"/>
          <w:color w:val="auto"/>
        </w:rPr>
        <w:t>3.1</w:t>
      </w:r>
      <w:r>
        <w:rPr>
          <w:rFonts w:hint="eastAsia"/>
          <w:color w:val="auto"/>
        </w:rPr>
        <w:t xml:space="preserve"> </w:t>
      </w:r>
      <w:r>
        <w:rPr>
          <w:color w:val="auto"/>
        </w:rPr>
        <w:t>比赛方法</w:t>
      </w:r>
      <w:bookmarkEnd w:id="11"/>
    </w:p>
    <w:p w:rsidR="00A41667" w:rsidRDefault="00E268B2">
      <w:pPr>
        <w:pStyle w:val="05"/>
        <w:ind w:firstLine="420"/>
        <w:rPr>
          <w:color w:val="auto"/>
        </w:rPr>
      </w:pPr>
      <w:r>
        <w:rPr>
          <w:color w:val="auto"/>
        </w:rPr>
        <w:t>比赛在图</w:t>
      </w:r>
      <w:r>
        <w:rPr>
          <w:color w:val="auto"/>
        </w:rPr>
        <w:t xml:space="preserve"> 3.1 </w:t>
      </w:r>
      <w:r>
        <w:rPr>
          <w:color w:val="auto"/>
        </w:rPr>
        <w:t>所示的场地上进行。每场比赛在分占两个半场的红、蓝两支联队之间进行，时间为</w:t>
      </w:r>
      <w:r>
        <w:rPr>
          <w:color w:val="auto"/>
        </w:rPr>
        <w:t xml:space="preserve"> 4 </w:t>
      </w:r>
      <w:r>
        <w:rPr>
          <w:color w:val="auto"/>
        </w:rPr>
        <w:t>分</w:t>
      </w:r>
      <w:r>
        <w:rPr>
          <w:color w:val="auto"/>
        </w:rPr>
        <w:t xml:space="preserve"> 30 </w:t>
      </w:r>
      <w:r>
        <w:rPr>
          <w:color w:val="auto"/>
        </w:rPr>
        <w:t>秒。</w:t>
      </w:r>
    </w:p>
    <w:p w:rsidR="00A41667" w:rsidRDefault="00E268B2">
      <w:pPr>
        <w:pStyle w:val="05"/>
        <w:ind w:firstLine="420"/>
        <w:rPr>
          <w:color w:val="auto"/>
        </w:rPr>
      </w:pPr>
      <w:r>
        <w:rPr>
          <w:color w:val="auto"/>
        </w:rPr>
        <w:t>每场比赛有自动控制、手动控制、强化改装和全力一搏四个阶段。比赛中，参赛队员将控制机器人，在本联队半场中把象征生产原料的黄色小方块投进对方半场的熔炉中或投掷小方块击落对方场地上代表废料的球瓶，将工作台上象征优质品的字母方块分拣到本联队半场；在手动和全力一搏阶段，机器人还可以将字母方块成功堆叠在质检区，或挂在悬挂装置上组成</w:t>
      </w:r>
      <w:r>
        <w:rPr>
          <w:color w:val="auto"/>
        </w:rPr>
        <w:t>“MAKEX”</w:t>
      </w:r>
      <w:r>
        <w:rPr>
          <w:color w:val="auto"/>
        </w:rPr>
        <w:t>。比赛结束时，裁判根据当时情况计算得分，得分高的参赛队获得比赛的胜利。</w:t>
      </w:r>
    </w:p>
    <w:p w:rsidR="00A41667" w:rsidRDefault="00E268B2">
      <w:pPr>
        <w:pStyle w:val="07"/>
        <w:rPr>
          <w:sz w:val="16"/>
        </w:rPr>
      </w:pPr>
      <w:r>
        <w:rPr>
          <w:noProof/>
          <w:lang w:val="en-US" w:bidi="ar-SA"/>
        </w:rPr>
        <w:drawing>
          <wp:inline distT="0" distB="0" distL="0" distR="0">
            <wp:extent cx="3959860" cy="2698115"/>
            <wp:effectExtent l="0" t="0" r="0" b="0"/>
            <wp:docPr id="1027" name="image2.jpeg"/>
            <wp:cNvGraphicFramePr/>
            <a:graphic xmlns:a="http://schemas.openxmlformats.org/drawingml/2006/main">
              <a:graphicData uri="http://schemas.openxmlformats.org/drawingml/2006/picture">
                <pic:pic xmlns:pic="http://schemas.openxmlformats.org/drawingml/2006/picture">
                  <pic:nvPicPr>
                    <pic:cNvPr id="1027" name="image2.jpeg"/>
                    <pic:cNvPicPr/>
                  </pic:nvPicPr>
                  <pic:blipFill>
                    <a:blip r:embed="rId10" cstate="print"/>
                    <a:srcRect/>
                    <a:stretch>
                      <a:fillRect/>
                    </a:stretch>
                  </pic:blipFill>
                  <pic:spPr>
                    <a:xfrm>
                      <a:off x="0" y="0"/>
                      <a:ext cx="3959860" cy="2698115"/>
                    </a:xfrm>
                    <a:prstGeom prst="rect">
                      <a:avLst/>
                    </a:prstGeom>
                  </pic:spPr>
                </pic:pic>
              </a:graphicData>
            </a:graphic>
          </wp:inline>
        </w:drawing>
      </w:r>
    </w:p>
    <w:p w:rsidR="00A41667" w:rsidRDefault="00E268B2">
      <w:pPr>
        <w:pStyle w:val="06"/>
        <w:rPr>
          <w:color w:val="auto"/>
        </w:rPr>
      </w:pPr>
      <w:r>
        <w:rPr>
          <w:color w:val="auto"/>
        </w:rPr>
        <w:t>图</w:t>
      </w:r>
      <w:r>
        <w:rPr>
          <w:color w:val="auto"/>
        </w:rPr>
        <w:t xml:space="preserve"> 3.</w:t>
      </w:r>
      <w:r>
        <w:rPr>
          <w:color w:val="auto"/>
        </w:rPr>
        <w:t xml:space="preserve">1  </w:t>
      </w:r>
      <w:r>
        <w:rPr>
          <w:color w:val="auto"/>
        </w:rPr>
        <w:t>比赛场地透视图</w:t>
      </w:r>
    </w:p>
    <w:p w:rsidR="00A41667" w:rsidRDefault="00E268B2">
      <w:pPr>
        <w:pStyle w:val="02"/>
        <w:rPr>
          <w:color w:val="auto"/>
        </w:rPr>
      </w:pPr>
      <w:bookmarkStart w:id="12" w:name="_Toc66889966"/>
      <w:r>
        <w:rPr>
          <w:color w:val="auto"/>
        </w:rPr>
        <w:t>3.2</w:t>
      </w:r>
      <w:r>
        <w:rPr>
          <w:rFonts w:hint="eastAsia"/>
          <w:color w:val="auto"/>
        </w:rPr>
        <w:t xml:space="preserve"> </w:t>
      </w:r>
      <w:r>
        <w:rPr>
          <w:color w:val="auto"/>
        </w:rPr>
        <w:t>比赛场地</w:t>
      </w:r>
      <w:bookmarkEnd w:id="12"/>
    </w:p>
    <w:p w:rsidR="00A41667" w:rsidRDefault="00E268B2">
      <w:pPr>
        <w:pStyle w:val="05"/>
        <w:ind w:firstLine="420"/>
        <w:rPr>
          <w:color w:val="auto"/>
        </w:rPr>
      </w:pPr>
      <w:r>
        <w:rPr>
          <w:color w:val="auto"/>
        </w:rPr>
        <w:t>MakeX “</w:t>
      </w:r>
      <w:r>
        <w:rPr>
          <w:color w:val="auto"/>
        </w:rPr>
        <w:t>智能制造</w:t>
      </w:r>
      <w:r>
        <w:rPr>
          <w:color w:val="auto"/>
        </w:rPr>
        <w:t>”</w:t>
      </w:r>
      <w:r>
        <w:rPr>
          <w:color w:val="auto"/>
        </w:rPr>
        <w:t>机器人挑战赛正式比赛场地为</w:t>
      </w:r>
      <w:r>
        <w:rPr>
          <w:color w:val="auto"/>
        </w:rPr>
        <w:t xml:space="preserve"> 3000×4400mm </w:t>
      </w:r>
      <w:r>
        <w:rPr>
          <w:color w:val="auto"/>
        </w:rPr>
        <w:t>的矩形区域，包括启动区、熔炉、质检区、原料区、工作台、废料台</w:t>
      </w:r>
      <w:r>
        <w:rPr>
          <w:color w:val="auto"/>
        </w:rPr>
        <w:t xml:space="preserve"> </w:t>
      </w:r>
      <w:r>
        <w:rPr>
          <w:color w:val="auto"/>
        </w:rPr>
        <w:t>、生产线和悬挂装置等。</w:t>
      </w:r>
    </w:p>
    <w:p w:rsidR="00A41667" w:rsidRDefault="00E268B2">
      <w:pPr>
        <w:pStyle w:val="05"/>
        <w:ind w:firstLine="420"/>
        <w:rPr>
          <w:color w:val="auto"/>
        </w:rPr>
      </w:pPr>
      <w:r>
        <w:rPr>
          <w:color w:val="auto"/>
        </w:rPr>
        <w:t>场地中央隔栏将场地分为红蓝两个半场，双方机器人只能在各自半场中完成相应的任务。</w:t>
      </w:r>
    </w:p>
    <w:p w:rsidR="00A41667" w:rsidRDefault="00E268B2">
      <w:pPr>
        <w:pStyle w:val="07"/>
        <w:rPr>
          <w:sz w:val="10"/>
        </w:rPr>
      </w:pPr>
      <w:r>
        <w:rPr>
          <w:noProof/>
          <w:lang w:val="en-US" w:bidi="ar-SA"/>
        </w:rPr>
        <w:lastRenderedPageBreak/>
        <w:drawing>
          <wp:inline distT="0" distB="0" distL="0" distR="0">
            <wp:extent cx="2894330" cy="1798955"/>
            <wp:effectExtent l="0" t="0" r="0" b="0"/>
            <wp:docPr id="1028" name="image3.jpeg"/>
            <wp:cNvGraphicFramePr/>
            <a:graphic xmlns:a="http://schemas.openxmlformats.org/drawingml/2006/main">
              <a:graphicData uri="http://schemas.openxmlformats.org/drawingml/2006/picture">
                <pic:pic xmlns:pic="http://schemas.openxmlformats.org/drawingml/2006/picture">
                  <pic:nvPicPr>
                    <pic:cNvPr id="1028" name="image3.jpeg"/>
                    <pic:cNvPicPr/>
                  </pic:nvPicPr>
                  <pic:blipFill>
                    <a:blip r:embed="rId11" cstate="print"/>
                    <a:srcRect/>
                    <a:stretch>
                      <a:fillRect/>
                    </a:stretch>
                  </pic:blipFill>
                  <pic:spPr>
                    <a:xfrm>
                      <a:off x="0" y="0"/>
                      <a:ext cx="2894330" cy="1799589"/>
                    </a:xfrm>
                    <a:prstGeom prst="rect">
                      <a:avLst/>
                    </a:prstGeom>
                  </pic:spPr>
                </pic:pic>
              </a:graphicData>
            </a:graphic>
          </wp:inline>
        </w:drawing>
      </w:r>
    </w:p>
    <w:p w:rsidR="00A41667" w:rsidRDefault="00E268B2">
      <w:pPr>
        <w:pStyle w:val="06"/>
        <w:rPr>
          <w:color w:val="auto"/>
        </w:rPr>
      </w:pPr>
      <w:r>
        <w:rPr>
          <w:color w:val="auto"/>
        </w:rPr>
        <w:t>图</w:t>
      </w:r>
      <w:r>
        <w:rPr>
          <w:color w:val="auto"/>
        </w:rPr>
        <w:t xml:space="preserve"> 3.2  </w:t>
      </w:r>
      <w:r>
        <w:rPr>
          <w:color w:val="auto"/>
        </w:rPr>
        <w:t>场地上的功能区</w:t>
      </w:r>
    </w:p>
    <w:p w:rsidR="00A41667" w:rsidRDefault="00E268B2">
      <w:pPr>
        <w:pStyle w:val="05"/>
        <w:ind w:firstLine="422"/>
        <w:rPr>
          <w:color w:val="auto"/>
        </w:rPr>
      </w:pPr>
      <w:r>
        <w:rPr>
          <w:rFonts w:ascii="宋体" w:hAnsi="宋体" w:cs="宋体" w:hint="eastAsia"/>
          <w:b/>
          <w:color w:val="auto"/>
        </w:rPr>
        <w:t>⑴</w:t>
      </w:r>
      <w:r>
        <w:rPr>
          <w:b/>
          <w:color w:val="auto"/>
        </w:rPr>
        <w:t xml:space="preserve"> </w:t>
      </w:r>
      <w:r>
        <w:rPr>
          <w:b/>
          <w:color w:val="auto"/>
        </w:rPr>
        <w:t>启动区：</w:t>
      </w:r>
      <w:r>
        <w:rPr>
          <w:color w:val="auto"/>
        </w:rPr>
        <w:t>分布在场上的</w:t>
      </w:r>
      <w:r>
        <w:rPr>
          <w:color w:val="auto"/>
        </w:rPr>
        <w:t xml:space="preserve"> </w:t>
      </w:r>
      <w:r>
        <w:rPr>
          <w:rFonts w:eastAsia="Times New Roman"/>
          <w:color w:val="auto"/>
        </w:rPr>
        <w:t xml:space="preserve">4 </w:t>
      </w:r>
      <w:r>
        <w:rPr>
          <w:color w:val="auto"/>
        </w:rPr>
        <w:t>个用于比赛开始前停放机器人的区域，外围尺寸为</w:t>
      </w:r>
      <w:r>
        <w:rPr>
          <w:color w:val="auto"/>
        </w:rPr>
        <w:t xml:space="preserve"> </w:t>
      </w:r>
      <w:r>
        <w:rPr>
          <w:rFonts w:eastAsia="Times New Roman"/>
          <w:color w:val="auto"/>
        </w:rPr>
        <w:t xml:space="preserve">500×500mm </w:t>
      </w:r>
      <w:r>
        <w:rPr>
          <w:color w:val="auto"/>
        </w:rPr>
        <w:t>。</w:t>
      </w:r>
    </w:p>
    <w:p w:rsidR="00A41667" w:rsidRDefault="00E268B2">
      <w:pPr>
        <w:pStyle w:val="07"/>
        <w:rPr>
          <w:sz w:val="17"/>
        </w:rPr>
      </w:pPr>
      <w:r>
        <w:rPr>
          <w:noProof/>
          <w:lang w:val="en-US" w:bidi="ar-SA"/>
        </w:rPr>
        <w:drawing>
          <wp:inline distT="0" distB="0" distL="0" distR="0">
            <wp:extent cx="2828925" cy="1331595"/>
            <wp:effectExtent l="0" t="0" r="0" b="0"/>
            <wp:docPr id="1029" name="image4.jpeg"/>
            <wp:cNvGraphicFramePr/>
            <a:graphic xmlns:a="http://schemas.openxmlformats.org/drawingml/2006/main">
              <a:graphicData uri="http://schemas.openxmlformats.org/drawingml/2006/picture">
                <pic:pic xmlns:pic="http://schemas.openxmlformats.org/drawingml/2006/picture">
                  <pic:nvPicPr>
                    <pic:cNvPr id="1029" name="image4.jpeg"/>
                    <pic:cNvPicPr/>
                  </pic:nvPicPr>
                  <pic:blipFill>
                    <a:blip r:embed="rId12" cstate="print"/>
                    <a:srcRect/>
                    <a:stretch>
                      <a:fillRect/>
                    </a:stretch>
                  </pic:blipFill>
                  <pic:spPr>
                    <a:xfrm>
                      <a:off x="0" y="0"/>
                      <a:ext cx="2828925" cy="1331595"/>
                    </a:xfrm>
                    <a:prstGeom prst="rect">
                      <a:avLst/>
                    </a:prstGeom>
                  </pic:spPr>
                </pic:pic>
              </a:graphicData>
            </a:graphic>
          </wp:inline>
        </w:drawing>
      </w:r>
    </w:p>
    <w:p w:rsidR="00A41667" w:rsidRDefault="00E268B2">
      <w:pPr>
        <w:pStyle w:val="06"/>
        <w:rPr>
          <w:color w:val="auto"/>
        </w:rPr>
      </w:pPr>
      <w:r>
        <w:rPr>
          <w:color w:val="auto"/>
        </w:rPr>
        <w:t>图</w:t>
      </w:r>
      <w:r>
        <w:rPr>
          <w:color w:val="auto"/>
        </w:rPr>
        <w:t xml:space="preserve"> </w:t>
      </w:r>
      <w:r>
        <w:rPr>
          <w:rFonts w:eastAsia="Times New Roman"/>
          <w:color w:val="auto"/>
        </w:rPr>
        <w:t xml:space="preserve">3.3  </w:t>
      </w:r>
      <w:r>
        <w:rPr>
          <w:color w:val="auto"/>
        </w:rPr>
        <w:t>启动区</w:t>
      </w:r>
    </w:p>
    <w:p w:rsidR="00A41667" w:rsidRDefault="00E268B2">
      <w:pPr>
        <w:pStyle w:val="05"/>
        <w:ind w:firstLine="422"/>
        <w:rPr>
          <w:color w:val="auto"/>
        </w:rPr>
      </w:pPr>
      <w:r>
        <w:rPr>
          <w:rStyle w:val="05Char"/>
          <w:rFonts w:ascii="宋体" w:hAnsi="宋体" w:cs="宋体" w:hint="eastAsia"/>
          <w:b/>
          <w:color w:val="auto"/>
        </w:rPr>
        <w:t>⑵</w:t>
      </w:r>
      <w:r>
        <w:rPr>
          <w:rStyle w:val="05Char"/>
          <w:b/>
          <w:color w:val="auto"/>
        </w:rPr>
        <w:t xml:space="preserve"> </w:t>
      </w:r>
      <w:r>
        <w:rPr>
          <w:rStyle w:val="05Char"/>
          <w:b/>
          <w:color w:val="auto"/>
        </w:rPr>
        <w:t>熔炉：</w:t>
      </w:r>
      <w:r>
        <w:rPr>
          <w:rStyle w:val="05Char"/>
          <w:color w:val="auto"/>
        </w:rPr>
        <w:t>红、蓝半场上各有一个熔炉，用以扁铝、</w:t>
      </w:r>
      <w:r>
        <w:rPr>
          <w:rStyle w:val="05Char"/>
          <w:color w:val="auto"/>
        </w:rPr>
        <w:t xml:space="preserve">KT </w:t>
      </w:r>
      <w:r>
        <w:rPr>
          <w:rStyle w:val="05Char"/>
          <w:color w:val="auto"/>
        </w:rPr>
        <w:t>板、亚克力板等材料搭建的长方体篮筐代表，</w:t>
      </w:r>
      <w:r>
        <w:rPr>
          <w:color w:val="auto"/>
        </w:rPr>
        <w:t>内框尺寸约为</w:t>
      </w:r>
      <w:r>
        <w:rPr>
          <w:color w:val="auto"/>
        </w:rPr>
        <w:t xml:space="preserve"> 320×260×600mm</w:t>
      </w:r>
      <w:r>
        <w:rPr>
          <w:color w:val="auto"/>
        </w:rPr>
        <w:t>，如图</w:t>
      </w:r>
      <w:r>
        <w:rPr>
          <w:color w:val="auto"/>
        </w:rPr>
        <w:t xml:space="preserve"> 3.4 </w:t>
      </w:r>
      <w:r>
        <w:rPr>
          <w:color w:val="auto"/>
        </w:rPr>
        <w:t>所示。</w:t>
      </w:r>
    </w:p>
    <w:p w:rsidR="00A41667" w:rsidRDefault="00E268B2">
      <w:pPr>
        <w:pStyle w:val="07"/>
        <w:rPr>
          <w:sz w:val="18"/>
        </w:rPr>
      </w:pPr>
      <w:r>
        <w:rPr>
          <w:rStyle w:val="05Char"/>
          <w:noProof/>
          <w:color w:val="auto"/>
          <w:lang w:val="en-US" w:bidi="ar-SA"/>
        </w:rPr>
        <w:drawing>
          <wp:inline distT="0" distB="0" distL="0" distR="0">
            <wp:extent cx="1783080" cy="1981200"/>
            <wp:effectExtent l="0" t="0" r="0" b="0"/>
            <wp:docPr id="1030" name="image5.jpeg"/>
            <wp:cNvGraphicFramePr/>
            <a:graphic xmlns:a="http://schemas.openxmlformats.org/drawingml/2006/main">
              <a:graphicData uri="http://schemas.openxmlformats.org/drawingml/2006/picture">
                <pic:pic xmlns:pic="http://schemas.openxmlformats.org/drawingml/2006/picture">
                  <pic:nvPicPr>
                    <pic:cNvPr id="1030" name="image5.jpeg"/>
                    <pic:cNvPicPr/>
                  </pic:nvPicPr>
                  <pic:blipFill>
                    <a:blip r:embed="rId13" cstate="print"/>
                    <a:srcRect/>
                    <a:stretch>
                      <a:fillRect/>
                    </a:stretch>
                  </pic:blipFill>
                  <pic:spPr>
                    <a:xfrm>
                      <a:off x="0" y="0"/>
                      <a:ext cx="1783080" cy="1981200"/>
                    </a:xfrm>
                    <a:prstGeom prst="rect">
                      <a:avLst/>
                    </a:prstGeom>
                  </pic:spPr>
                </pic:pic>
              </a:graphicData>
            </a:graphic>
          </wp:inline>
        </w:drawing>
      </w:r>
    </w:p>
    <w:p w:rsidR="00A41667" w:rsidRDefault="00E268B2">
      <w:pPr>
        <w:pStyle w:val="06"/>
        <w:rPr>
          <w:color w:val="auto"/>
        </w:rPr>
      </w:pPr>
      <w:r>
        <w:rPr>
          <w:color w:val="auto"/>
        </w:rPr>
        <w:t>图</w:t>
      </w:r>
      <w:r>
        <w:rPr>
          <w:color w:val="auto"/>
        </w:rPr>
        <w:t xml:space="preserve"> </w:t>
      </w:r>
      <w:r>
        <w:rPr>
          <w:rFonts w:eastAsia="Times New Roman"/>
          <w:color w:val="auto"/>
        </w:rPr>
        <w:t xml:space="preserve">3.4  </w:t>
      </w:r>
      <w:r>
        <w:rPr>
          <w:color w:val="auto"/>
        </w:rPr>
        <w:t>熔炉（篮筐）</w:t>
      </w:r>
    </w:p>
    <w:p w:rsidR="00A41667" w:rsidRDefault="00E268B2">
      <w:pPr>
        <w:pStyle w:val="05"/>
        <w:ind w:firstLine="422"/>
        <w:rPr>
          <w:color w:val="auto"/>
        </w:rPr>
      </w:pPr>
      <w:r>
        <w:rPr>
          <w:rFonts w:ascii="宋体" w:hAnsi="宋体" w:cs="宋体" w:hint="eastAsia"/>
          <w:b/>
          <w:color w:val="auto"/>
        </w:rPr>
        <w:t>⑶</w:t>
      </w:r>
      <w:r>
        <w:rPr>
          <w:b/>
          <w:color w:val="auto"/>
        </w:rPr>
        <w:t xml:space="preserve"> </w:t>
      </w:r>
      <w:r>
        <w:rPr>
          <w:b/>
          <w:color w:val="auto"/>
        </w:rPr>
        <w:t>质检区：</w:t>
      </w:r>
      <w:r>
        <w:rPr>
          <w:color w:val="auto"/>
        </w:rPr>
        <w:t>红、蓝半场各有</w:t>
      </w:r>
      <w:r>
        <w:rPr>
          <w:color w:val="auto"/>
        </w:rPr>
        <w:t xml:space="preserve"> </w:t>
      </w:r>
      <w:r>
        <w:rPr>
          <w:rFonts w:eastAsia="Times New Roman"/>
          <w:color w:val="auto"/>
        </w:rPr>
        <w:t xml:space="preserve">2 </w:t>
      </w:r>
      <w:r>
        <w:rPr>
          <w:color w:val="auto"/>
        </w:rPr>
        <w:t>个质检区，是长宽尺寸为</w:t>
      </w:r>
      <w:r>
        <w:rPr>
          <w:color w:val="auto"/>
        </w:rPr>
        <w:t xml:space="preserve"> </w:t>
      </w:r>
      <w:r>
        <w:rPr>
          <w:rFonts w:eastAsia="Times New Roman"/>
          <w:color w:val="auto"/>
        </w:rPr>
        <w:t xml:space="preserve">500mm×400mm </w:t>
      </w:r>
      <w:r>
        <w:rPr>
          <w:color w:val="auto"/>
        </w:rPr>
        <w:t>的切角矩形。</w:t>
      </w:r>
    </w:p>
    <w:p w:rsidR="00A41667" w:rsidRDefault="00E268B2">
      <w:pPr>
        <w:pStyle w:val="07"/>
      </w:pPr>
      <w:r>
        <w:rPr>
          <w:noProof/>
          <w:lang w:val="en-US" w:bidi="ar-SA"/>
        </w:rPr>
        <w:drawing>
          <wp:inline distT="0" distB="0" distL="0" distR="0">
            <wp:extent cx="2785745" cy="1541780"/>
            <wp:effectExtent l="0" t="0" r="0" b="0"/>
            <wp:docPr id="1031" name="image6.jpeg"/>
            <wp:cNvGraphicFramePr/>
            <a:graphic xmlns:a="http://schemas.openxmlformats.org/drawingml/2006/main">
              <a:graphicData uri="http://schemas.openxmlformats.org/drawingml/2006/picture">
                <pic:pic xmlns:pic="http://schemas.openxmlformats.org/drawingml/2006/picture">
                  <pic:nvPicPr>
                    <pic:cNvPr id="1031" name="image6.jpeg"/>
                    <pic:cNvPicPr/>
                  </pic:nvPicPr>
                  <pic:blipFill>
                    <a:blip r:embed="rId14" cstate="print"/>
                    <a:srcRect/>
                    <a:stretch>
                      <a:fillRect/>
                    </a:stretch>
                  </pic:blipFill>
                  <pic:spPr>
                    <a:xfrm>
                      <a:off x="0" y="0"/>
                      <a:ext cx="2785745" cy="1541780"/>
                    </a:xfrm>
                    <a:prstGeom prst="rect">
                      <a:avLst/>
                    </a:prstGeom>
                  </pic:spPr>
                </pic:pic>
              </a:graphicData>
            </a:graphic>
          </wp:inline>
        </w:drawing>
      </w:r>
    </w:p>
    <w:p w:rsidR="00A41667" w:rsidRDefault="00E268B2">
      <w:pPr>
        <w:pStyle w:val="06"/>
        <w:rPr>
          <w:color w:val="auto"/>
        </w:rPr>
      </w:pPr>
      <w:r>
        <w:rPr>
          <w:color w:val="auto"/>
        </w:rPr>
        <w:t>图</w:t>
      </w:r>
      <w:r>
        <w:rPr>
          <w:color w:val="auto"/>
        </w:rPr>
        <w:t xml:space="preserve"> 3.5  </w:t>
      </w:r>
      <w:r>
        <w:rPr>
          <w:color w:val="auto"/>
        </w:rPr>
        <w:t>质检区</w:t>
      </w:r>
    </w:p>
    <w:p w:rsidR="00A41667" w:rsidRDefault="00E268B2">
      <w:pPr>
        <w:pStyle w:val="05"/>
        <w:ind w:firstLine="422"/>
        <w:rPr>
          <w:color w:val="auto"/>
        </w:rPr>
      </w:pPr>
      <w:r>
        <w:rPr>
          <w:rFonts w:ascii="宋体" w:hAnsi="宋体" w:cs="宋体" w:hint="eastAsia"/>
          <w:b/>
          <w:color w:val="auto"/>
        </w:rPr>
        <w:lastRenderedPageBreak/>
        <w:t>⑷</w:t>
      </w:r>
      <w:r>
        <w:rPr>
          <w:b/>
          <w:color w:val="auto"/>
        </w:rPr>
        <w:t xml:space="preserve"> </w:t>
      </w:r>
      <w:r>
        <w:rPr>
          <w:b/>
          <w:color w:val="auto"/>
        </w:rPr>
        <w:t>原料区：</w:t>
      </w:r>
      <w:r>
        <w:rPr>
          <w:color w:val="auto"/>
        </w:rPr>
        <w:t>红蓝半场各有</w:t>
      </w:r>
      <w:r>
        <w:rPr>
          <w:color w:val="auto"/>
        </w:rPr>
        <w:t xml:space="preserve"> </w:t>
      </w:r>
      <w:r>
        <w:rPr>
          <w:rFonts w:eastAsia="Times New Roman"/>
          <w:color w:val="auto"/>
        </w:rPr>
        <w:t xml:space="preserve">2 </w:t>
      </w:r>
      <w:r>
        <w:rPr>
          <w:color w:val="auto"/>
        </w:rPr>
        <w:t>个原料区，为比赛开始前小方块的初始摆放区域，每个原料区中放置了</w:t>
      </w:r>
      <w:r>
        <w:rPr>
          <w:color w:val="auto"/>
        </w:rPr>
        <w:t xml:space="preserve"> </w:t>
      </w:r>
      <w:r>
        <w:rPr>
          <w:rFonts w:eastAsia="Times New Roman"/>
          <w:color w:val="auto"/>
        </w:rPr>
        <w:t xml:space="preserve">20 </w:t>
      </w:r>
      <w:r>
        <w:rPr>
          <w:color w:val="auto"/>
        </w:rPr>
        <w:t>个小方块。</w:t>
      </w:r>
    </w:p>
    <w:p w:rsidR="00A41667" w:rsidRDefault="00E268B2">
      <w:pPr>
        <w:pStyle w:val="07"/>
      </w:pPr>
      <w:r>
        <w:rPr>
          <w:noProof/>
          <w:lang w:val="en-US" w:bidi="ar-SA"/>
        </w:rPr>
        <w:drawing>
          <wp:inline distT="0" distB="0" distL="0" distR="0">
            <wp:extent cx="3696970" cy="1450975"/>
            <wp:effectExtent l="0" t="0" r="0" b="0"/>
            <wp:docPr id="1032" name="image7.jpeg"/>
            <wp:cNvGraphicFramePr/>
            <a:graphic xmlns:a="http://schemas.openxmlformats.org/drawingml/2006/main">
              <a:graphicData uri="http://schemas.openxmlformats.org/drawingml/2006/picture">
                <pic:pic xmlns:pic="http://schemas.openxmlformats.org/drawingml/2006/picture">
                  <pic:nvPicPr>
                    <pic:cNvPr id="1032" name="image7.jpeg"/>
                    <pic:cNvPicPr/>
                  </pic:nvPicPr>
                  <pic:blipFill>
                    <a:blip r:embed="rId15" cstate="print"/>
                    <a:srcRect/>
                    <a:stretch>
                      <a:fillRect/>
                    </a:stretch>
                  </pic:blipFill>
                  <pic:spPr>
                    <a:xfrm>
                      <a:off x="0" y="0"/>
                      <a:ext cx="3696970" cy="1450975"/>
                    </a:xfrm>
                    <a:prstGeom prst="rect">
                      <a:avLst/>
                    </a:prstGeom>
                  </pic:spPr>
                </pic:pic>
              </a:graphicData>
            </a:graphic>
          </wp:inline>
        </w:drawing>
      </w:r>
    </w:p>
    <w:p w:rsidR="00A41667" w:rsidRDefault="00E268B2">
      <w:pPr>
        <w:pStyle w:val="06"/>
        <w:rPr>
          <w:color w:val="auto"/>
        </w:rPr>
      </w:pPr>
      <w:r>
        <w:rPr>
          <w:color w:val="auto"/>
        </w:rPr>
        <w:t>图</w:t>
      </w:r>
      <w:r>
        <w:rPr>
          <w:color w:val="auto"/>
        </w:rPr>
        <w:t xml:space="preserve"> 3.6  </w:t>
      </w:r>
      <w:r>
        <w:rPr>
          <w:color w:val="auto"/>
        </w:rPr>
        <w:t>原料区和小方块</w:t>
      </w:r>
    </w:p>
    <w:p w:rsidR="00A41667" w:rsidRDefault="00E268B2">
      <w:pPr>
        <w:pStyle w:val="05"/>
        <w:ind w:firstLine="422"/>
        <w:rPr>
          <w:color w:val="auto"/>
        </w:rPr>
      </w:pPr>
      <w:r>
        <w:rPr>
          <w:rFonts w:ascii="宋体" w:hAnsi="宋体" w:cs="宋体" w:hint="eastAsia"/>
          <w:b/>
          <w:color w:val="auto"/>
        </w:rPr>
        <w:t>⑸</w:t>
      </w:r>
      <w:r>
        <w:rPr>
          <w:b/>
          <w:color w:val="auto"/>
        </w:rPr>
        <w:t xml:space="preserve"> </w:t>
      </w:r>
      <w:r>
        <w:rPr>
          <w:b/>
          <w:color w:val="auto"/>
        </w:rPr>
        <w:t>工作台：</w:t>
      </w:r>
      <w:r>
        <w:rPr>
          <w:color w:val="auto"/>
        </w:rPr>
        <w:t>每个半场各有</w:t>
      </w:r>
      <w:r>
        <w:rPr>
          <w:color w:val="auto"/>
        </w:rPr>
        <w:t xml:space="preserve"> 1 </w:t>
      </w:r>
      <w:r>
        <w:rPr>
          <w:color w:val="auto"/>
        </w:rPr>
        <w:t>个工作台，为比赛开始前字母方块和空白方块的初始摆放区域（每场比赛前由</w:t>
      </w:r>
      <w:r>
        <w:rPr>
          <w:color w:val="auto"/>
          <w:sz w:val="22"/>
          <w:szCs w:val="22"/>
        </w:rPr>
        <w:t>裁判</w:t>
      </w:r>
      <w:r>
        <w:rPr>
          <w:rFonts w:hint="eastAsia"/>
          <w:color w:val="auto"/>
          <w:sz w:val="22"/>
          <w:szCs w:val="22"/>
        </w:rPr>
        <w:t>组织队员</w:t>
      </w:r>
      <w:r>
        <w:rPr>
          <w:color w:val="auto"/>
          <w:sz w:val="22"/>
          <w:szCs w:val="22"/>
        </w:rPr>
        <w:t>抽签</w:t>
      </w:r>
      <w:r>
        <w:rPr>
          <w:color w:val="auto"/>
        </w:rPr>
        <w:t>确定认摆放顺序）。平台外围扁铝距地面垂直高度为</w:t>
      </w:r>
      <w:r>
        <w:rPr>
          <w:color w:val="auto"/>
        </w:rPr>
        <w:t xml:space="preserve"> 150mm, </w:t>
      </w:r>
      <w:r>
        <w:rPr>
          <w:color w:val="auto"/>
        </w:rPr>
        <w:t>图</w:t>
      </w:r>
      <w:r>
        <w:rPr>
          <w:color w:val="auto"/>
        </w:rPr>
        <w:t xml:space="preserve"> 3.8 </w:t>
      </w:r>
      <w:r>
        <w:rPr>
          <w:color w:val="auto"/>
        </w:rPr>
        <w:t>所示只是一个摆放的实例。</w:t>
      </w:r>
    </w:p>
    <w:p w:rsidR="00A41667" w:rsidRDefault="00E268B2">
      <w:pPr>
        <w:pStyle w:val="07"/>
        <w:rPr>
          <w:sz w:val="22"/>
        </w:rPr>
      </w:pPr>
      <w:r>
        <w:rPr>
          <w:noProof/>
          <w:lang w:val="en-US" w:bidi="ar-SA"/>
        </w:rPr>
        <w:drawing>
          <wp:inline distT="0" distB="0" distL="0" distR="0">
            <wp:extent cx="2378710" cy="2310765"/>
            <wp:effectExtent l="0" t="0" r="0" b="0"/>
            <wp:docPr id="1033" name="image8.png"/>
            <wp:cNvGraphicFramePr/>
            <a:graphic xmlns:a="http://schemas.openxmlformats.org/drawingml/2006/main">
              <a:graphicData uri="http://schemas.openxmlformats.org/drawingml/2006/picture">
                <pic:pic xmlns:pic="http://schemas.openxmlformats.org/drawingml/2006/picture">
                  <pic:nvPicPr>
                    <pic:cNvPr id="1033" name="image8.png"/>
                    <pic:cNvPicPr/>
                  </pic:nvPicPr>
                  <pic:blipFill>
                    <a:blip r:embed="rId16" cstate="print"/>
                    <a:srcRect/>
                    <a:stretch>
                      <a:fillRect/>
                    </a:stretch>
                  </pic:blipFill>
                  <pic:spPr>
                    <a:xfrm>
                      <a:off x="0" y="0"/>
                      <a:ext cx="2378710" cy="2310765"/>
                    </a:xfrm>
                    <a:prstGeom prst="rect">
                      <a:avLst/>
                    </a:prstGeom>
                  </pic:spPr>
                </pic:pic>
              </a:graphicData>
            </a:graphic>
          </wp:inline>
        </w:drawing>
      </w:r>
    </w:p>
    <w:p w:rsidR="00A41667" w:rsidRDefault="00E268B2">
      <w:pPr>
        <w:ind w:left="4048"/>
        <w:rPr>
          <w:b/>
          <w:sz w:val="18"/>
        </w:rPr>
      </w:pPr>
      <w:r>
        <w:rPr>
          <w:b/>
          <w:sz w:val="18"/>
        </w:rPr>
        <w:t>图</w:t>
      </w:r>
      <w:r>
        <w:rPr>
          <w:b/>
          <w:sz w:val="18"/>
        </w:rPr>
        <w:t xml:space="preserve"> </w:t>
      </w:r>
      <w:r>
        <w:rPr>
          <w:rFonts w:ascii="Times New Roman" w:eastAsia="Times New Roman"/>
          <w:b/>
          <w:sz w:val="18"/>
        </w:rPr>
        <w:t xml:space="preserve">3.7  </w:t>
      </w:r>
      <w:r>
        <w:rPr>
          <w:b/>
          <w:sz w:val="18"/>
        </w:rPr>
        <w:t>工作台</w:t>
      </w:r>
    </w:p>
    <w:p w:rsidR="00A41667" w:rsidRDefault="00E268B2">
      <w:pPr>
        <w:pStyle w:val="05"/>
        <w:ind w:firstLine="422"/>
        <w:rPr>
          <w:color w:val="auto"/>
        </w:rPr>
      </w:pPr>
      <w:r>
        <w:rPr>
          <w:rFonts w:ascii="宋体" w:hAnsi="宋体" w:cs="宋体" w:hint="eastAsia"/>
          <w:b/>
          <w:color w:val="auto"/>
        </w:rPr>
        <w:t>⑹</w:t>
      </w:r>
      <w:r>
        <w:rPr>
          <w:b/>
          <w:color w:val="auto"/>
        </w:rPr>
        <w:t xml:space="preserve"> </w:t>
      </w:r>
      <w:r>
        <w:rPr>
          <w:b/>
          <w:color w:val="auto"/>
        </w:rPr>
        <w:t>废料台：</w:t>
      </w:r>
      <w:r>
        <w:rPr>
          <w:color w:val="auto"/>
        </w:rPr>
        <w:t>每个半场各有</w:t>
      </w:r>
      <w:r>
        <w:rPr>
          <w:color w:val="auto"/>
        </w:rPr>
        <w:t xml:space="preserve"> </w:t>
      </w:r>
      <w:r>
        <w:rPr>
          <w:rFonts w:eastAsia="Times New Roman"/>
          <w:color w:val="auto"/>
        </w:rPr>
        <w:t xml:space="preserve">1 </w:t>
      </w:r>
      <w:r>
        <w:rPr>
          <w:color w:val="auto"/>
        </w:rPr>
        <w:t>个废料台，由扁铝、铝制八棱柱、亚克力板和</w:t>
      </w:r>
      <w:r>
        <w:rPr>
          <w:color w:val="auto"/>
        </w:rPr>
        <w:t xml:space="preserve"> </w:t>
      </w:r>
      <w:r>
        <w:rPr>
          <w:rFonts w:eastAsia="Times New Roman"/>
          <w:color w:val="auto"/>
        </w:rPr>
        <w:t xml:space="preserve">PVC </w:t>
      </w:r>
      <w:r>
        <w:rPr>
          <w:color w:val="auto"/>
        </w:rPr>
        <w:t>板搭建而成，是比赛开始前摆放</w:t>
      </w:r>
      <w:r>
        <w:rPr>
          <w:color w:val="auto"/>
        </w:rPr>
        <w:t xml:space="preserve"> </w:t>
      </w:r>
      <w:r>
        <w:rPr>
          <w:rFonts w:eastAsia="Times New Roman"/>
          <w:color w:val="auto"/>
        </w:rPr>
        <w:t xml:space="preserve">6 </w:t>
      </w:r>
      <w:r>
        <w:rPr>
          <w:color w:val="auto"/>
        </w:rPr>
        <w:t>个表示废料的红</w:t>
      </w:r>
      <w:r>
        <w:rPr>
          <w:rFonts w:eastAsia="Times New Roman"/>
          <w:color w:val="auto"/>
        </w:rPr>
        <w:t>/</w:t>
      </w:r>
      <w:r>
        <w:rPr>
          <w:color w:val="auto"/>
        </w:rPr>
        <w:t>蓝色球瓶的区域。</w:t>
      </w:r>
    </w:p>
    <w:p w:rsidR="00A41667" w:rsidRDefault="00E268B2">
      <w:pPr>
        <w:pStyle w:val="07"/>
        <w:rPr>
          <w:sz w:val="18"/>
        </w:rPr>
      </w:pPr>
      <w:r>
        <w:rPr>
          <w:noProof/>
          <w:lang w:val="en-US" w:bidi="ar-SA"/>
        </w:rPr>
        <w:drawing>
          <wp:inline distT="0" distB="0" distL="0" distR="0">
            <wp:extent cx="2254250" cy="2014220"/>
            <wp:effectExtent l="0" t="0" r="0" b="0"/>
            <wp:docPr id="1034" name="image9.jpeg"/>
            <wp:cNvGraphicFramePr/>
            <a:graphic xmlns:a="http://schemas.openxmlformats.org/drawingml/2006/main">
              <a:graphicData uri="http://schemas.openxmlformats.org/drawingml/2006/picture">
                <pic:pic xmlns:pic="http://schemas.openxmlformats.org/drawingml/2006/picture">
                  <pic:nvPicPr>
                    <pic:cNvPr id="1034" name="image9.jpeg"/>
                    <pic:cNvPicPr/>
                  </pic:nvPicPr>
                  <pic:blipFill>
                    <a:blip r:embed="rId17" cstate="print"/>
                    <a:srcRect/>
                    <a:stretch>
                      <a:fillRect/>
                    </a:stretch>
                  </pic:blipFill>
                  <pic:spPr>
                    <a:xfrm>
                      <a:off x="0" y="0"/>
                      <a:ext cx="2254250" cy="2014220"/>
                    </a:xfrm>
                    <a:prstGeom prst="rect">
                      <a:avLst/>
                    </a:prstGeom>
                  </pic:spPr>
                </pic:pic>
              </a:graphicData>
            </a:graphic>
          </wp:inline>
        </w:drawing>
      </w:r>
    </w:p>
    <w:p w:rsidR="00A41667" w:rsidRDefault="00E268B2">
      <w:pPr>
        <w:pStyle w:val="06"/>
        <w:rPr>
          <w:color w:val="auto"/>
        </w:rPr>
      </w:pPr>
      <w:r>
        <w:rPr>
          <w:color w:val="auto"/>
        </w:rPr>
        <w:t>图</w:t>
      </w:r>
      <w:r>
        <w:rPr>
          <w:color w:val="auto"/>
        </w:rPr>
        <w:t xml:space="preserve"> </w:t>
      </w:r>
      <w:r>
        <w:rPr>
          <w:rFonts w:eastAsia="Times New Roman"/>
          <w:color w:val="auto"/>
        </w:rPr>
        <w:t xml:space="preserve">3.8  </w:t>
      </w:r>
      <w:r>
        <w:rPr>
          <w:color w:val="auto"/>
        </w:rPr>
        <w:t>废料台</w:t>
      </w:r>
    </w:p>
    <w:p w:rsidR="00A41667" w:rsidRDefault="00E268B2">
      <w:pPr>
        <w:pStyle w:val="05"/>
        <w:ind w:firstLine="422"/>
        <w:rPr>
          <w:color w:val="auto"/>
        </w:rPr>
      </w:pPr>
      <w:r>
        <w:rPr>
          <w:rFonts w:ascii="宋体" w:hAnsi="宋体" w:cs="宋体" w:hint="eastAsia"/>
          <w:b/>
          <w:color w:val="auto"/>
        </w:rPr>
        <w:lastRenderedPageBreak/>
        <w:t>⑺</w:t>
      </w:r>
      <w:r>
        <w:rPr>
          <w:b/>
          <w:color w:val="auto"/>
        </w:rPr>
        <w:t xml:space="preserve"> </w:t>
      </w:r>
      <w:r>
        <w:rPr>
          <w:b/>
          <w:color w:val="auto"/>
        </w:rPr>
        <w:t>生产线：</w:t>
      </w:r>
      <w:r>
        <w:rPr>
          <w:color w:val="auto"/>
        </w:rPr>
        <w:t>每个半场地面上各有</w:t>
      </w:r>
      <w:r>
        <w:rPr>
          <w:color w:val="auto"/>
        </w:rPr>
        <w:t xml:space="preserve"> </w:t>
      </w:r>
      <w:r>
        <w:rPr>
          <w:rFonts w:eastAsia="Times New Roman"/>
          <w:color w:val="auto"/>
        </w:rPr>
        <w:t xml:space="preserve">3 </w:t>
      </w:r>
      <w:r>
        <w:rPr>
          <w:color w:val="auto"/>
        </w:rPr>
        <w:t>个箭头状红</w:t>
      </w:r>
      <w:r>
        <w:rPr>
          <w:color w:val="auto"/>
        </w:rPr>
        <w:t>/</w:t>
      </w:r>
      <w:r>
        <w:rPr>
          <w:color w:val="auto"/>
        </w:rPr>
        <w:t>蓝色块，只是一种标识。</w:t>
      </w:r>
    </w:p>
    <w:p w:rsidR="00A41667" w:rsidRDefault="00E268B2">
      <w:pPr>
        <w:pStyle w:val="07"/>
        <w:rPr>
          <w:sz w:val="12"/>
        </w:rPr>
      </w:pPr>
      <w:r>
        <w:rPr>
          <w:noProof/>
          <w:lang w:val="en-US" w:bidi="ar-SA"/>
        </w:rPr>
        <w:drawing>
          <wp:inline distT="0" distB="0" distL="0" distR="0">
            <wp:extent cx="3458845" cy="1517650"/>
            <wp:effectExtent l="0" t="0" r="0" b="0"/>
            <wp:docPr id="1035" name="image10.jpeg" descr="C:\Users\hl10027\AppData\Local\Temp\WeChat Files\367330912952931990.png"/>
            <wp:cNvGraphicFramePr/>
            <a:graphic xmlns:a="http://schemas.openxmlformats.org/drawingml/2006/main">
              <a:graphicData uri="http://schemas.openxmlformats.org/drawingml/2006/picture">
                <pic:pic xmlns:pic="http://schemas.openxmlformats.org/drawingml/2006/picture">
                  <pic:nvPicPr>
                    <pic:cNvPr id="1035" name="image10.jpeg" descr="C:\Users\hl10027\AppData\Local\Temp\WeChat Files\367330912952931990.png"/>
                    <pic:cNvPicPr/>
                  </pic:nvPicPr>
                  <pic:blipFill>
                    <a:blip r:embed="rId18" cstate="print"/>
                    <a:srcRect/>
                    <a:stretch>
                      <a:fillRect/>
                    </a:stretch>
                  </pic:blipFill>
                  <pic:spPr>
                    <a:xfrm>
                      <a:off x="0" y="0"/>
                      <a:ext cx="3458845" cy="1517650"/>
                    </a:xfrm>
                    <a:prstGeom prst="rect">
                      <a:avLst/>
                    </a:prstGeom>
                  </pic:spPr>
                </pic:pic>
              </a:graphicData>
            </a:graphic>
          </wp:inline>
        </w:drawing>
      </w:r>
    </w:p>
    <w:p w:rsidR="00A41667" w:rsidRDefault="00E268B2">
      <w:pPr>
        <w:pStyle w:val="06"/>
        <w:rPr>
          <w:color w:val="auto"/>
        </w:rPr>
      </w:pPr>
      <w:r>
        <w:rPr>
          <w:color w:val="auto"/>
        </w:rPr>
        <w:t>图</w:t>
      </w:r>
      <w:r>
        <w:rPr>
          <w:color w:val="auto"/>
        </w:rPr>
        <w:t xml:space="preserve"> </w:t>
      </w:r>
      <w:r>
        <w:rPr>
          <w:rFonts w:eastAsia="Times New Roman"/>
          <w:color w:val="auto"/>
        </w:rPr>
        <w:t xml:space="preserve">3.9  </w:t>
      </w:r>
      <w:r>
        <w:rPr>
          <w:color w:val="auto"/>
        </w:rPr>
        <w:t>生产线</w:t>
      </w:r>
    </w:p>
    <w:p w:rsidR="00A41667" w:rsidRDefault="00E268B2">
      <w:pPr>
        <w:pStyle w:val="05"/>
        <w:ind w:firstLine="422"/>
        <w:rPr>
          <w:color w:val="auto"/>
        </w:rPr>
      </w:pPr>
      <w:r>
        <w:rPr>
          <w:rFonts w:ascii="宋体" w:hAnsi="宋体" w:cs="宋体" w:hint="eastAsia"/>
          <w:b/>
          <w:color w:val="auto"/>
        </w:rPr>
        <w:t>⑻</w:t>
      </w:r>
      <w:r>
        <w:rPr>
          <w:b/>
          <w:color w:val="auto"/>
        </w:rPr>
        <w:t xml:space="preserve"> </w:t>
      </w:r>
      <w:r>
        <w:rPr>
          <w:b/>
          <w:color w:val="auto"/>
        </w:rPr>
        <w:t>悬挂装置：</w:t>
      </w:r>
      <w:r>
        <w:rPr>
          <w:color w:val="auto"/>
        </w:rPr>
        <w:t>每个半场中各有</w:t>
      </w:r>
      <w:r>
        <w:rPr>
          <w:color w:val="auto"/>
        </w:rPr>
        <w:t xml:space="preserve"> </w:t>
      </w:r>
      <w:r>
        <w:rPr>
          <w:rFonts w:eastAsia="Times New Roman"/>
          <w:color w:val="auto"/>
        </w:rPr>
        <w:t xml:space="preserve">1 </w:t>
      </w:r>
      <w:r>
        <w:rPr>
          <w:color w:val="auto"/>
        </w:rPr>
        <w:t>个悬挂装置，由场地中央的</w:t>
      </w:r>
      <w:r>
        <w:rPr>
          <w:color w:val="auto"/>
        </w:rPr>
        <w:t xml:space="preserve"> </w:t>
      </w:r>
      <w:r>
        <w:rPr>
          <w:rFonts w:eastAsia="Times New Roman"/>
          <w:color w:val="auto"/>
        </w:rPr>
        <w:t xml:space="preserve">960mm </w:t>
      </w:r>
      <w:r>
        <w:rPr>
          <w:color w:val="auto"/>
        </w:rPr>
        <w:t>八棱柱与</w:t>
      </w:r>
      <w:r>
        <w:rPr>
          <w:color w:val="auto"/>
        </w:rPr>
        <w:t xml:space="preserve"> </w:t>
      </w:r>
      <w:r>
        <w:rPr>
          <w:rFonts w:eastAsia="Times New Roman"/>
          <w:color w:val="auto"/>
        </w:rPr>
        <w:t xml:space="preserve">50mm </w:t>
      </w:r>
      <w:r>
        <w:rPr>
          <w:color w:val="auto"/>
        </w:rPr>
        <w:t>宽、</w:t>
      </w:r>
      <w:r>
        <w:rPr>
          <w:rFonts w:eastAsia="Times New Roman"/>
          <w:color w:val="auto"/>
        </w:rPr>
        <w:t xml:space="preserve">92mm </w:t>
      </w:r>
      <w:r>
        <w:rPr>
          <w:color w:val="auto"/>
        </w:rPr>
        <w:t>长的扁铝组成。</w:t>
      </w:r>
      <w:r>
        <w:rPr>
          <w:rFonts w:eastAsia="Times New Roman"/>
          <w:color w:val="auto"/>
        </w:rPr>
        <w:t xml:space="preserve">5 </w:t>
      </w:r>
      <w:r>
        <w:rPr>
          <w:color w:val="auto"/>
        </w:rPr>
        <w:t>根扁铝横梁水平装配在八棱柱上，用于悬挂字母方块，从上到下编号依次为</w:t>
      </w:r>
      <w:r>
        <w:rPr>
          <w:color w:val="auto"/>
        </w:rPr>
        <w:t xml:space="preserve"> </w:t>
      </w:r>
      <w:r>
        <w:rPr>
          <w:rFonts w:eastAsia="Times New Roman"/>
          <w:color w:val="auto"/>
        </w:rPr>
        <w:t>1</w:t>
      </w:r>
      <w:r>
        <w:rPr>
          <w:color w:val="auto"/>
        </w:rPr>
        <w:t>、</w:t>
      </w:r>
      <w:r>
        <w:rPr>
          <w:rFonts w:eastAsia="Times New Roman"/>
          <w:color w:val="auto"/>
        </w:rPr>
        <w:t>2</w:t>
      </w:r>
      <w:r>
        <w:rPr>
          <w:color w:val="auto"/>
        </w:rPr>
        <w:t>、</w:t>
      </w:r>
      <w:r>
        <w:rPr>
          <w:rFonts w:eastAsia="Times New Roman"/>
          <w:color w:val="auto"/>
        </w:rPr>
        <w:t>3</w:t>
      </w:r>
      <w:r>
        <w:rPr>
          <w:color w:val="auto"/>
        </w:rPr>
        <w:t>、</w:t>
      </w:r>
      <w:r>
        <w:rPr>
          <w:rFonts w:eastAsia="Times New Roman"/>
          <w:color w:val="auto"/>
        </w:rPr>
        <w:t>4</w:t>
      </w:r>
      <w:r>
        <w:rPr>
          <w:color w:val="auto"/>
        </w:rPr>
        <w:t>、</w:t>
      </w:r>
      <w:r>
        <w:rPr>
          <w:rFonts w:eastAsia="Times New Roman"/>
          <w:color w:val="auto"/>
        </w:rPr>
        <w:t>5</w:t>
      </w:r>
      <w:r>
        <w:rPr>
          <w:color w:val="auto"/>
        </w:rPr>
        <w:t>。</w:t>
      </w:r>
    </w:p>
    <w:p w:rsidR="00A41667" w:rsidRDefault="00E268B2">
      <w:pPr>
        <w:pStyle w:val="07"/>
        <w:rPr>
          <w:sz w:val="22"/>
        </w:rPr>
      </w:pPr>
      <w:r>
        <w:rPr>
          <w:noProof/>
          <w:lang w:val="en-US" w:bidi="ar-SA"/>
        </w:rPr>
        <w:drawing>
          <wp:inline distT="0" distB="0" distL="0" distR="0">
            <wp:extent cx="3420745" cy="2273935"/>
            <wp:effectExtent l="0" t="0" r="0" b="0"/>
            <wp:docPr id="1036" name="image11.jpeg"/>
            <wp:cNvGraphicFramePr/>
            <a:graphic xmlns:a="http://schemas.openxmlformats.org/drawingml/2006/main">
              <a:graphicData uri="http://schemas.openxmlformats.org/drawingml/2006/picture">
                <pic:pic xmlns:pic="http://schemas.openxmlformats.org/drawingml/2006/picture">
                  <pic:nvPicPr>
                    <pic:cNvPr id="1036" name="image11.jpeg"/>
                    <pic:cNvPicPr/>
                  </pic:nvPicPr>
                  <pic:blipFill>
                    <a:blip r:embed="rId19" cstate="print"/>
                    <a:srcRect/>
                    <a:stretch>
                      <a:fillRect/>
                    </a:stretch>
                  </pic:blipFill>
                  <pic:spPr>
                    <a:xfrm>
                      <a:off x="0" y="0"/>
                      <a:ext cx="3420745" cy="2273935"/>
                    </a:xfrm>
                    <a:prstGeom prst="rect">
                      <a:avLst/>
                    </a:prstGeom>
                  </pic:spPr>
                </pic:pic>
              </a:graphicData>
            </a:graphic>
          </wp:inline>
        </w:drawing>
      </w:r>
    </w:p>
    <w:p w:rsidR="00A41667" w:rsidRDefault="00E268B2">
      <w:pPr>
        <w:pStyle w:val="06"/>
        <w:rPr>
          <w:color w:val="auto"/>
        </w:rPr>
      </w:pPr>
      <w:r>
        <w:rPr>
          <w:color w:val="auto"/>
        </w:rPr>
        <w:t>图</w:t>
      </w:r>
      <w:r>
        <w:rPr>
          <w:color w:val="auto"/>
        </w:rPr>
        <w:t xml:space="preserve"> </w:t>
      </w:r>
      <w:r>
        <w:rPr>
          <w:rFonts w:eastAsia="Times New Roman"/>
          <w:color w:val="auto"/>
        </w:rPr>
        <w:t xml:space="preserve">3.10  </w:t>
      </w:r>
      <w:r>
        <w:rPr>
          <w:color w:val="auto"/>
        </w:rPr>
        <w:t>悬挂装置</w:t>
      </w:r>
    </w:p>
    <w:p w:rsidR="00A41667" w:rsidRDefault="00E268B2">
      <w:pPr>
        <w:pStyle w:val="02"/>
        <w:rPr>
          <w:color w:val="auto"/>
        </w:rPr>
      </w:pPr>
      <w:bookmarkStart w:id="13" w:name="_Toc66889967"/>
      <w:r>
        <w:rPr>
          <w:rFonts w:eastAsia="Times New Roman"/>
          <w:color w:val="auto"/>
        </w:rPr>
        <w:t>3.3</w:t>
      </w:r>
      <w:r>
        <w:rPr>
          <w:rFonts w:hint="eastAsia"/>
          <w:color w:val="auto"/>
        </w:rPr>
        <w:t xml:space="preserve"> </w:t>
      </w:r>
      <w:r>
        <w:rPr>
          <w:color w:val="auto"/>
        </w:rPr>
        <w:t>比赛用品和得分物品</w:t>
      </w:r>
      <w:bookmarkEnd w:id="13"/>
    </w:p>
    <w:p w:rsidR="00A41667" w:rsidRDefault="00E268B2">
      <w:pPr>
        <w:pStyle w:val="07"/>
        <w:rPr>
          <w:sz w:val="9"/>
        </w:rPr>
      </w:pPr>
      <w:r>
        <w:rPr>
          <w:noProof/>
          <w:lang w:val="en-US" w:bidi="ar-SA"/>
        </w:rPr>
        <w:drawing>
          <wp:inline distT="0" distB="0" distL="0" distR="0">
            <wp:extent cx="3505200" cy="2202815"/>
            <wp:effectExtent l="0" t="0" r="0" b="0"/>
            <wp:docPr id="1037" name="image12.jpeg"/>
            <wp:cNvGraphicFramePr/>
            <a:graphic xmlns:a="http://schemas.openxmlformats.org/drawingml/2006/main">
              <a:graphicData uri="http://schemas.openxmlformats.org/drawingml/2006/picture">
                <pic:pic xmlns:pic="http://schemas.openxmlformats.org/drawingml/2006/picture">
                  <pic:nvPicPr>
                    <pic:cNvPr id="1037" name="image12.jpeg"/>
                    <pic:cNvPicPr/>
                  </pic:nvPicPr>
                  <pic:blipFill>
                    <a:blip r:embed="rId20" cstate="print"/>
                    <a:srcRect/>
                    <a:stretch>
                      <a:fillRect/>
                    </a:stretch>
                  </pic:blipFill>
                  <pic:spPr>
                    <a:xfrm>
                      <a:off x="0" y="0"/>
                      <a:ext cx="3505834" cy="2202815"/>
                    </a:xfrm>
                    <a:prstGeom prst="rect">
                      <a:avLst/>
                    </a:prstGeom>
                  </pic:spPr>
                </pic:pic>
              </a:graphicData>
            </a:graphic>
          </wp:inline>
        </w:drawing>
      </w:r>
    </w:p>
    <w:p w:rsidR="00A41667" w:rsidRDefault="00E268B2">
      <w:pPr>
        <w:pStyle w:val="06"/>
        <w:rPr>
          <w:color w:val="auto"/>
        </w:rPr>
      </w:pPr>
      <w:r>
        <w:rPr>
          <w:color w:val="auto"/>
        </w:rPr>
        <w:t>图</w:t>
      </w:r>
      <w:r>
        <w:rPr>
          <w:color w:val="auto"/>
        </w:rPr>
        <w:t xml:space="preserve"> </w:t>
      </w:r>
      <w:r>
        <w:rPr>
          <w:rFonts w:eastAsia="Times New Roman"/>
          <w:color w:val="auto"/>
        </w:rPr>
        <w:t xml:space="preserve">3.11 </w:t>
      </w:r>
      <w:r>
        <w:rPr>
          <w:color w:val="auto"/>
        </w:rPr>
        <w:t>比赛用品和得分物品</w:t>
      </w:r>
    </w:p>
    <w:p w:rsidR="00A41667" w:rsidRDefault="00E268B2">
      <w:pPr>
        <w:pStyle w:val="05"/>
        <w:ind w:firstLine="422"/>
        <w:rPr>
          <w:color w:val="auto"/>
        </w:rPr>
      </w:pPr>
      <w:r>
        <w:rPr>
          <w:rFonts w:ascii="宋体" w:hAnsi="宋体" w:cs="宋体" w:hint="eastAsia"/>
          <w:b/>
          <w:color w:val="auto"/>
        </w:rPr>
        <w:t>⑴</w:t>
      </w:r>
      <w:r>
        <w:rPr>
          <w:b/>
          <w:color w:val="auto"/>
        </w:rPr>
        <w:t xml:space="preserve"> </w:t>
      </w:r>
      <w:r>
        <w:rPr>
          <w:b/>
          <w:color w:val="auto"/>
        </w:rPr>
        <w:t>球瓶：</w:t>
      </w:r>
      <w:r>
        <w:rPr>
          <w:color w:val="auto"/>
        </w:rPr>
        <w:t>每个半场的废料台上各有</w:t>
      </w:r>
      <w:r>
        <w:rPr>
          <w:color w:val="auto"/>
        </w:rPr>
        <w:t xml:space="preserve"> </w:t>
      </w:r>
      <w:r>
        <w:rPr>
          <w:rFonts w:eastAsia="Times New Roman"/>
          <w:color w:val="auto"/>
        </w:rPr>
        <w:t xml:space="preserve">6 </w:t>
      </w:r>
      <w:r>
        <w:rPr>
          <w:color w:val="auto"/>
        </w:rPr>
        <w:t>个位置固定、表示废料的红</w:t>
      </w:r>
      <w:r>
        <w:rPr>
          <w:rFonts w:eastAsia="Times New Roman"/>
          <w:color w:val="auto"/>
        </w:rPr>
        <w:t>/</w:t>
      </w:r>
      <w:r>
        <w:rPr>
          <w:color w:val="auto"/>
        </w:rPr>
        <w:t>蓝色球瓶，是得分物品。球瓶材质为</w:t>
      </w:r>
      <w:r>
        <w:rPr>
          <w:color w:val="auto"/>
        </w:rPr>
        <w:t xml:space="preserve"> </w:t>
      </w:r>
      <w:r>
        <w:rPr>
          <w:rFonts w:eastAsia="Times New Roman"/>
          <w:color w:val="auto"/>
        </w:rPr>
        <w:t>EVA</w:t>
      </w:r>
      <w:r>
        <w:rPr>
          <w:color w:val="auto"/>
        </w:rPr>
        <w:t>，高</w:t>
      </w:r>
      <w:r>
        <w:rPr>
          <w:color w:val="auto"/>
        </w:rPr>
        <w:t xml:space="preserve"> </w:t>
      </w:r>
      <w:r>
        <w:rPr>
          <w:rFonts w:eastAsia="Times New Roman"/>
          <w:color w:val="auto"/>
        </w:rPr>
        <w:t>290mm</w:t>
      </w:r>
      <w:r>
        <w:rPr>
          <w:color w:val="auto"/>
        </w:rPr>
        <w:t>，底部直径</w:t>
      </w:r>
      <w:r>
        <w:rPr>
          <w:color w:val="auto"/>
        </w:rPr>
        <w:t xml:space="preserve"> </w:t>
      </w:r>
      <w:r>
        <w:rPr>
          <w:rFonts w:eastAsia="Times New Roman"/>
          <w:color w:val="auto"/>
        </w:rPr>
        <w:t>70mm</w:t>
      </w:r>
      <w:r>
        <w:rPr>
          <w:color w:val="auto"/>
        </w:rPr>
        <w:t>，最大直径</w:t>
      </w:r>
      <w:r>
        <w:rPr>
          <w:color w:val="auto"/>
        </w:rPr>
        <w:t xml:space="preserve"> </w:t>
      </w:r>
      <w:r>
        <w:rPr>
          <w:rFonts w:eastAsia="Times New Roman"/>
          <w:color w:val="auto"/>
        </w:rPr>
        <w:t>100mm</w:t>
      </w:r>
      <w:r>
        <w:rPr>
          <w:color w:val="auto"/>
        </w:rPr>
        <w:t>（注：球瓶尺寸允许有</w:t>
      </w:r>
      <w:r>
        <w:rPr>
          <w:color w:val="auto"/>
        </w:rPr>
        <w:t>±</w:t>
      </w:r>
      <w:r>
        <w:rPr>
          <w:rFonts w:eastAsia="Times New Roman"/>
          <w:color w:val="auto"/>
        </w:rPr>
        <w:t xml:space="preserve">10mm </w:t>
      </w:r>
      <w:r>
        <w:rPr>
          <w:color w:val="auto"/>
        </w:rPr>
        <w:t>的误差）。</w:t>
      </w:r>
    </w:p>
    <w:p w:rsidR="00A41667" w:rsidRDefault="00E268B2">
      <w:pPr>
        <w:pStyle w:val="07"/>
        <w:rPr>
          <w:sz w:val="8"/>
        </w:rPr>
      </w:pPr>
      <w:r>
        <w:rPr>
          <w:noProof/>
          <w:lang w:val="en-US" w:bidi="ar-SA"/>
        </w:rPr>
        <w:lastRenderedPageBreak/>
        <w:drawing>
          <wp:inline distT="0" distB="0" distL="0" distR="0">
            <wp:extent cx="1998980" cy="1177290"/>
            <wp:effectExtent l="0" t="0" r="0" b="0"/>
            <wp:docPr id="1038" name="image13.png"/>
            <wp:cNvGraphicFramePr/>
            <a:graphic xmlns:a="http://schemas.openxmlformats.org/drawingml/2006/main">
              <a:graphicData uri="http://schemas.openxmlformats.org/drawingml/2006/picture">
                <pic:pic xmlns:pic="http://schemas.openxmlformats.org/drawingml/2006/picture">
                  <pic:nvPicPr>
                    <pic:cNvPr id="1038" name="image13.png"/>
                    <pic:cNvPicPr/>
                  </pic:nvPicPr>
                  <pic:blipFill>
                    <a:blip r:embed="rId21" cstate="print"/>
                    <a:srcRect/>
                    <a:stretch>
                      <a:fillRect/>
                    </a:stretch>
                  </pic:blipFill>
                  <pic:spPr>
                    <a:xfrm>
                      <a:off x="0" y="0"/>
                      <a:ext cx="1999614" cy="1177290"/>
                    </a:xfrm>
                    <a:prstGeom prst="rect">
                      <a:avLst/>
                    </a:prstGeom>
                  </pic:spPr>
                </pic:pic>
              </a:graphicData>
            </a:graphic>
          </wp:inline>
        </w:drawing>
      </w:r>
    </w:p>
    <w:p w:rsidR="00A41667" w:rsidRDefault="00E268B2">
      <w:pPr>
        <w:pStyle w:val="06"/>
        <w:rPr>
          <w:color w:val="auto"/>
        </w:rPr>
      </w:pPr>
      <w:r>
        <w:rPr>
          <w:color w:val="auto"/>
        </w:rPr>
        <w:t>图</w:t>
      </w:r>
      <w:r>
        <w:rPr>
          <w:color w:val="auto"/>
        </w:rPr>
        <w:t xml:space="preserve"> 3.12  </w:t>
      </w:r>
      <w:r>
        <w:rPr>
          <w:color w:val="auto"/>
        </w:rPr>
        <w:t>球瓶</w:t>
      </w:r>
    </w:p>
    <w:p w:rsidR="00A41667" w:rsidRDefault="00E268B2">
      <w:pPr>
        <w:pStyle w:val="05"/>
        <w:ind w:firstLine="422"/>
        <w:rPr>
          <w:color w:val="auto"/>
        </w:rPr>
      </w:pPr>
      <w:r>
        <w:rPr>
          <w:rFonts w:ascii="宋体" w:hAnsi="宋体" w:cs="宋体" w:hint="eastAsia"/>
          <w:b/>
          <w:color w:val="auto"/>
        </w:rPr>
        <w:t>⑵</w:t>
      </w:r>
      <w:r>
        <w:rPr>
          <w:b/>
          <w:color w:val="auto"/>
        </w:rPr>
        <w:t xml:space="preserve"> </w:t>
      </w:r>
      <w:r>
        <w:rPr>
          <w:b/>
          <w:color w:val="auto"/>
        </w:rPr>
        <w:t>小方块：</w:t>
      </w:r>
      <w:r>
        <w:rPr>
          <w:color w:val="auto"/>
        </w:rPr>
        <w:t>小方块可以是表示原料的得分物品，也可以是用于击打球瓶的比赛用品。小方块为磨角的</w:t>
      </w:r>
      <w:r>
        <w:rPr>
          <w:color w:val="auto"/>
        </w:rPr>
        <w:t xml:space="preserve"> </w:t>
      </w:r>
      <w:r>
        <w:rPr>
          <w:rFonts w:eastAsia="Times New Roman"/>
          <w:color w:val="auto"/>
        </w:rPr>
        <w:t xml:space="preserve">70mm </w:t>
      </w:r>
      <w:r>
        <w:rPr>
          <w:color w:val="auto"/>
        </w:rPr>
        <w:t>立方体，材质为</w:t>
      </w:r>
      <w:r>
        <w:rPr>
          <w:color w:val="auto"/>
        </w:rPr>
        <w:t xml:space="preserve"> </w:t>
      </w:r>
      <w:r>
        <w:rPr>
          <w:rFonts w:eastAsia="Times New Roman"/>
          <w:color w:val="auto"/>
        </w:rPr>
        <w:t>EVA</w:t>
      </w:r>
      <w:r>
        <w:rPr>
          <w:color w:val="auto"/>
        </w:rPr>
        <w:t>。比赛开始前每个原料区放置</w:t>
      </w:r>
      <w:r>
        <w:rPr>
          <w:color w:val="auto"/>
        </w:rPr>
        <w:t xml:space="preserve"> </w:t>
      </w:r>
      <w:r>
        <w:rPr>
          <w:rFonts w:eastAsia="Times New Roman"/>
          <w:color w:val="auto"/>
        </w:rPr>
        <w:t xml:space="preserve">20 </w:t>
      </w:r>
      <w:r>
        <w:rPr>
          <w:color w:val="auto"/>
        </w:rPr>
        <w:t>个，全场共</w:t>
      </w:r>
      <w:r>
        <w:rPr>
          <w:color w:val="auto"/>
        </w:rPr>
        <w:t xml:space="preserve"> </w:t>
      </w:r>
      <w:r>
        <w:rPr>
          <w:rFonts w:eastAsia="Times New Roman"/>
          <w:color w:val="auto"/>
        </w:rPr>
        <w:t xml:space="preserve">80 </w:t>
      </w:r>
      <w:r>
        <w:rPr>
          <w:color w:val="auto"/>
        </w:rPr>
        <w:t>个。（注：小方块尺寸允许有</w:t>
      </w:r>
      <w:r>
        <w:rPr>
          <w:color w:val="auto"/>
        </w:rPr>
        <w:t>±</w:t>
      </w:r>
      <w:r>
        <w:rPr>
          <w:rFonts w:eastAsia="Times New Roman"/>
          <w:color w:val="auto"/>
        </w:rPr>
        <w:t xml:space="preserve">3mm </w:t>
      </w:r>
      <w:r>
        <w:rPr>
          <w:color w:val="auto"/>
        </w:rPr>
        <w:t>的误差）</w:t>
      </w:r>
    </w:p>
    <w:p w:rsidR="00A41667" w:rsidRDefault="00E268B2">
      <w:pPr>
        <w:pStyle w:val="07"/>
        <w:rPr>
          <w:sz w:val="22"/>
        </w:rPr>
      </w:pPr>
      <w:r>
        <w:rPr>
          <w:noProof/>
          <w:lang w:val="en-US" w:bidi="ar-SA"/>
        </w:rPr>
        <w:drawing>
          <wp:inline distT="0" distB="0" distL="0" distR="0">
            <wp:extent cx="2704465" cy="1315720"/>
            <wp:effectExtent l="0" t="0" r="0" b="0"/>
            <wp:docPr id="1039" name="image14.jpeg"/>
            <wp:cNvGraphicFramePr/>
            <a:graphic xmlns:a="http://schemas.openxmlformats.org/drawingml/2006/main">
              <a:graphicData uri="http://schemas.openxmlformats.org/drawingml/2006/picture">
                <pic:pic xmlns:pic="http://schemas.openxmlformats.org/drawingml/2006/picture">
                  <pic:nvPicPr>
                    <pic:cNvPr id="1039" name="image14.jpeg"/>
                    <pic:cNvPicPr/>
                  </pic:nvPicPr>
                  <pic:blipFill>
                    <a:blip r:embed="rId22" cstate="print"/>
                    <a:srcRect/>
                    <a:stretch>
                      <a:fillRect/>
                    </a:stretch>
                  </pic:blipFill>
                  <pic:spPr>
                    <a:xfrm>
                      <a:off x="0" y="0"/>
                      <a:ext cx="2704465" cy="1315720"/>
                    </a:xfrm>
                    <a:prstGeom prst="rect">
                      <a:avLst/>
                    </a:prstGeom>
                  </pic:spPr>
                </pic:pic>
              </a:graphicData>
            </a:graphic>
          </wp:inline>
        </w:drawing>
      </w:r>
    </w:p>
    <w:p w:rsidR="00A41667" w:rsidRDefault="00E268B2">
      <w:pPr>
        <w:pStyle w:val="06"/>
        <w:rPr>
          <w:color w:val="auto"/>
        </w:rPr>
      </w:pPr>
      <w:r>
        <w:rPr>
          <w:color w:val="auto"/>
        </w:rPr>
        <w:t>图</w:t>
      </w:r>
      <w:r>
        <w:rPr>
          <w:color w:val="auto"/>
        </w:rPr>
        <w:t xml:space="preserve"> </w:t>
      </w:r>
      <w:r>
        <w:rPr>
          <w:rFonts w:eastAsia="Times New Roman"/>
          <w:color w:val="auto"/>
        </w:rPr>
        <w:t xml:space="preserve">3.13  </w:t>
      </w:r>
      <w:r>
        <w:rPr>
          <w:color w:val="auto"/>
        </w:rPr>
        <w:t>小方块</w:t>
      </w:r>
    </w:p>
    <w:p w:rsidR="00A41667" w:rsidRDefault="00E268B2">
      <w:pPr>
        <w:pStyle w:val="05"/>
        <w:ind w:firstLine="422"/>
        <w:rPr>
          <w:color w:val="auto"/>
        </w:rPr>
      </w:pPr>
      <w:r>
        <w:rPr>
          <w:rFonts w:ascii="宋体" w:hAnsi="宋体" w:cs="宋体" w:hint="eastAsia"/>
          <w:b/>
          <w:color w:val="auto"/>
        </w:rPr>
        <w:t>⑶</w:t>
      </w:r>
      <w:r>
        <w:rPr>
          <w:b/>
          <w:color w:val="auto"/>
        </w:rPr>
        <w:t xml:space="preserve"> </w:t>
      </w:r>
      <w:r>
        <w:rPr>
          <w:b/>
          <w:color w:val="auto"/>
        </w:rPr>
        <w:t>字母方块：</w:t>
      </w:r>
      <w:r>
        <w:rPr>
          <w:color w:val="auto"/>
        </w:rPr>
        <w:t>边长</w:t>
      </w:r>
      <w:r>
        <w:rPr>
          <w:color w:val="auto"/>
        </w:rPr>
        <w:t xml:space="preserve"> </w:t>
      </w:r>
      <w:r>
        <w:rPr>
          <w:rFonts w:eastAsia="Times New Roman"/>
          <w:color w:val="auto"/>
        </w:rPr>
        <w:t xml:space="preserve">120mm </w:t>
      </w:r>
      <w:r>
        <w:rPr>
          <w:color w:val="auto"/>
        </w:rPr>
        <w:t>的</w:t>
      </w:r>
      <w:r>
        <w:rPr>
          <w:color w:val="auto"/>
        </w:rPr>
        <w:t xml:space="preserve"> </w:t>
      </w:r>
      <w:r>
        <w:rPr>
          <w:rFonts w:eastAsia="Times New Roman"/>
          <w:color w:val="auto"/>
        </w:rPr>
        <w:t xml:space="preserve">EVA </w:t>
      </w:r>
      <w:r>
        <w:rPr>
          <w:color w:val="auto"/>
        </w:rPr>
        <w:t>立方体表示优质品。方块一面有长十字形盲孔（</w:t>
      </w:r>
      <w:r>
        <w:rPr>
          <w:rFonts w:eastAsia="Times New Roman"/>
          <w:color w:val="auto"/>
        </w:rPr>
        <w:t>70/120×35×100 mm</w:t>
      </w:r>
      <w:r>
        <w:rPr>
          <w:color w:val="auto"/>
        </w:rPr>
        <w:t>）。</w:t>
      </w:r>
      <w:r>
        <w:rPr>
          <w:rFonts w:eastAsia="Times New Roman"/>
          <w:color w:val="auto"/>
        </w:rPr>
        <w:t xml:space="preserve">5 </w:t>
      </w:r>
      <w:r>
        <w:rPr>
          <w:color w:val="auto"/>
        </w:rPr>
        <w:t>个方块上分别贴有</w:t>
      </w:r>
      <w:r>
        <w:rPr>
          <w:color w:val="auto"/>
        </w:rPr>
        <w:t xml:space="preserve"> </w:t>
      </w:r>
      <w:r>
        <w:rPr>
          <w:rFonts w:eastAsia="Times New Roman"/>
          <w:color w:val="auto"/>
        </w:rPr>
        <w:t>M</w:t>
      </w:r>
      <w:r>
        <w:rPr>
          <w:color w:val="auto"/>
        </w:rPr>
        <w:t>、</w:t>
      </w:r>
      <w:r>
        <w:rPr>
          <w:rFonts w:eastAsia="Times New Roman"/>
          <w:color w:val="auto"/>
        </w:rPr>
        <w:t>A</w:t>
      </w:r>
      <w:r>
        <w:rPr>
          <w:color w:val="auto"/>
        </w:rPr>
        <w:t>、</w:t>
      </w:r>
      <w:r>
        <w:rPr>
          <w:rFonts w:eastAsia="Times New Roman"/>
          <w:color w:val="auto"/>
        </w:rPr>
        <w:t>K</w:t>
      </w:r>
      <w:r>
        <w:rPr>
          <w:color w:val="auto"/>
        </w:rPr>
        <w:t>、</w:t>
      </w:r>
      <w:r>
        <w:rPr>
          <w:rFonts w:eastAsia="Times New Roman"/>
          <w:color w:val="auto"/>
        </w:rPr>
        <w:t>E</w:t>
      </w:r>
      <w:r>
        <w:rPr>
          <w:color w:val="auto"/>
        </w:rPr>
        <w:t>、</w:t>
      </w:r>
      <w:r>
        <w:rPr>
          <w:rFonts w:eastAsia="Times New Roman"/>
          <w:color w:val="auto"/>
        </w:rPr>
        <w:t xml:space="preserve">X </w:t>
      </w:r>
      <w:r>
        <w:rPr>
          <w:color w:val="auto"/>
        </w:rPr>
        <w:t>五种字母，称为字母方块。字母方块共有</w:t>
      </w:r>
      <w:r>
        <w:rPr>
          <w:color w:val="auto"/>
        </w:rPr>
        <w:t xml:space="preserve"> </w:t>
      </w:r>
      <w:r>
        <w:rPr>
          <w:rFonts w:eastAsia="Times New Roman"/>
          <w:color w:val="auto"/>
        </w:rPr>
        <w:t xml:space="preserve">10 </w:t>
      </w:r>
      <w:r>
        <w:rPr>
          <w:color w:val="auto"/>
        </w:rPr>
        <w:t>个，每个半场的工作台上各放</w:t>
      </w:r>
      <w:r>
        <w:rPr>
          <w:color w:val="auto"/>
        </w:rPr>
        <w:t xml:space="preserve"> </w:t>
      </w:r>
      <w:r>
        <w:rPr>
          <w:rFonts w:eastAsia="Times New Roman"/>
          <w:color w:val="auto"/>
        </w:rPr>
        <w:t xml:space="preserve">5 </w:t>
      </w:r>
      <w:r>
        <w:rPr>
          <w:color w:val="auto"/>
        </w:rPr>
        <w:t>个。（注：尺寸允许有</w:t>
      </w:r>
      <w:r>
        <w:rPr>
          <w:rFonts w:eastAsia="Times New Roman"/>
          <w:color w:val="auto"/>
        </w:rPr>
        <w:t xml:space="preserve">±5mm </w:t>
      </w:r>
      <w:r>
        <w:rPr>
          <w:color w:val="auto"/>
        </w:rPr>
        <w:t>的误差）</w:t>
      </w:r>
    </w:p>
    <w:p w:rsidR="00A41667" w:rsidRDefault="00E268B2">
      <w:pPr>
        <w:pStyle w:val="07"/>
        <w:rPr>
          <w:sz w:val="22"/>
        </w:rPr>
      </w:pPr>
      <w:r>
        <w:rPr>
          <w:noProof/>
          <w:lang w:val="en-US" w:bidi="ar-SA"/>
        </w:rPr>
        <w:drawing>
          <wp:inline distT="0" distB="0" distL="0" distR="0">
            <wp:extent cx="2247265" cy="2071370"/>
            <wp:effectExtent l="0" t="0" r="0" b="0"/>
            <wp:docPr id="1040" name="image15.jpeg"/>
            <wp:cNvGraphicFramePr/>
            <a:graphic xmlns:a="http://schemas.openxmlformats.org/drawingml/2006/main">
              <a:graphicData uri="http://schemas.openxmlformats.org/drawingml/2006/picture">
                <pic:pic xmlns:pic="http://schemas.openxmlformats.org/drawingml/2006/picture">
                  <pic:nvPicPr>
                    <pic:cNvPr id="1040" name="image15.jpeg"/>
                    <pic:cNvPicPr/>
                  </pic:nvPicPr>
                  <pic:blipFill>
                    <a:blip r:embed="rId23" cstate="print"/>
                    <a:srcRect/>
                    <a:stretch>
                      <a:fillRect/>
                    </a:stretch>
                  </pic:blipFill>
                  <pic:spPr>
                    <a:xfrm>
                      <a:off x="0" y="0"/>
                      <a:ext cx="2247265" cy="2072004"/>
                    </a:xfrm>
                    <a:prstGeom prst="rect">
                      <a:avLst/>
                    </a:prstGeom>
                  </pic:spPr>
                </pic:pic>
              </a:graphicData>
            </a:graphic>
          </wp:inline>
        </w:drawing>
      </w:r>
    </w:p>
    <w:p w:rsidR="00A41667" w:rsidRDefault="00E268B2">
      <w:pPr>
        <w:pStyle w:val="06"/>
        <w:rPr>
          <w:color w:val="auto"/>
        </w:rPr>
      </w:pPr>
      <w:r>
        <w:rPr>
          <w:color w:val="auto"/>
        </w:rPr>
        <w:t>图</w:t>
      </w:r>
      <w:r>
        <w:rPr>
          <w:color w:val="auto"/>
        </w:rPr>
        <w:t xml:space="preserve"> </w:t>
      </w:r>
      <w:r>
        <w:rPr>
          <w:rFonts w:eastAsia="Times New Roman"/>
          <w:color w:val="auto"/>
        </w:rPr>
        <w:t xml:space="preserve">3.14  </w:t>
      </w:r>
      <w:r>
        <w:rPr>
          <w:color w:val="auto"/>
        </w:rPr>
        <w:t>字母方块</w:t>
      </w:r>
    </w:p>
    <w:p w:rsidR="00A41667" w:rsidRDefault="00E268B2">
      <w:pPr>
        <w:pStyle w:val="05"/>
        <w:ind w:firstLine="422"/>
        <w:rPr>
          <w:color w:val="auto"/>
        </w:rPr>
      </w:pPr>
      <w:r>
        <w:rPr>
          <w:rFonts w:ascii="宋体" w:hAnsi="宋体" w:cs="宋体" w:hint="eastAsia"/>
          <w:b/>
          <w:color w:val="auto"/>
        </w:rPr>
        <w:t>⑷</w:t>
      </w:r>
      <w:r>
        <w:rPr>
          <w:b/>
          <w:color w:val="auto"/>
        </w:rPr>
        <w:t xml:space="preserve"> </w:t>
      </w:r>
      <w:r>
        <w:rPr>
          <w:b/>
          <w:color w:val="auto"/>
        </w:rPr>
        <w:t>空白方块：</w:t>
      </w:r>
      <w:r>
        <w:rPr>
          <w:color w:val="auto"/>
        </w:rPr>
        <w:t>表示残次品的空白方块的形状、尺寸、孔型与字母方块相同。只是方块上没有任何字母贴纸。空白方块共有</w:t>
      </w:r>
      <w:r>
        <w:rPr>
          <w:color w:val="auto"/>
        </w:rPr>
        <w:t xml:space="preserve"> </w:t>
      </w:r>
      <w:r>
        <w:rPr>
          <w:rFonts w:eastAsia="Times New Roman"/>
          <w:color w:val="auto"/>
        </w:rPr>
        <w:t xml:space="preserve">2 </w:t>
      </w:r>
      <w:r>
        <w:rPr>
          <w:color w:val="auto"/>
        </w:rPr>
        <w:t>个，每个半场的工作台上各放</w:t>
      </w:r>
      <w:r>
        <w:rPr>
          <w:color w:val="auto"/>
        </w:rPr>
        <w:t xml:space="preserve"> </w:t>
      </w:r>
      <w:r>
        <w:rPr>
          <w:rFonts w:eastAsia="Times New Roman"/>
          <w:color w:val="auto"/>
        </w:rPr>
        <w:t xml:space="preserve">1 </w:t>
      </w:r>
      <w:r>
        <w:rPr>
          <w:color w:val="auto"/>
        </w:rPr>
        <w:t>个（与</w:t>
      </w:r>
      <w:r>
        <w:rPr>
          <w:color w:val="auto"/>
        </w:rPr>
        <w:t xml:space="preserve"> </w:t>
      </w:r>
      <w:r>
        <w:rPr>
          <w:rFonts w:eastAsia="Times New Roman"/>
          <w:color w:val="auto"/>
        </w:rPr>
        <w:t xml:space="preserve">5 </w:t>
      </w:r>
      <w:r>
        <w:rPr>
          <w:color w:val="auto"/>
        </w:rPr>
        <w:t>个字母方块一起摆放成</w:t>
      </w:r>
      <w:r>
        <w:rPr>
          <w:color w:val="auto"/>
        </w:rPr>
        <w:t xml:space="preserve"> </w:t>
      </w:r>
      <w:r>
        <w:rPr>
          <w:rFonts w:eastAsia="Times New Roman"/>
          <w:color w:val="auto"/>
        </w:rPr>
        <w:t xml:space="preserve">3×2 </w:t>
      </w:r>
      <w:r>
        <w:rPr>
          <w:color w:val="auto"/>
        </w:rPr>
        <w:t>的样式）。（注：尺寸允许有</w:t>
      </w:r>
      <w:r>
        <w:rPr>
          <w:rFonts w:eastAsia="Times New Roman"/>
          <w:color w:val="auto"/>
        </w:rPr>
        <w:t xml:space="preserve">±5mm </w:t>
      </w:r>
      <w:r>
        <w:rPr>
          <w:color w:val="auto"/>
        </w:rPr>
        <w:t>的误差）</w:t>
      </w:r>
    </w:p>
    <w:p w:rsidR="00A41667" w:rsidRDefault="00E268B2">
      <w:pPr>
        <w:pStyle w:val="07"/>
        <w:rPr>
          <w:sz w:val="20"/>
        </w:rPr>
      </w:pPr>
      <w:r>
        <w:rPr>
          <w:noProof/>
          <w:lang w:val="en-US" w:bidi="ar-SA"/>
        </w:rPr>
        <w:lastRenderedPageBreak/>
        <w:drawing>
          <wp:inline distT="0" distB="0" distL="0" distR="0">
            <wp:extent cx="2370455" cy="2116455"/>
            <wp:effectExtent l="0" t="0" r="0" b="0"/>
            <wp:docPr id="1041" name="image16.jpeg"/>
            <wp:cNvGraphicFramePr/>
            <a:graphic xmlns:a="http://schemas.openxmlformats.org/drawingml/2006/main">
              <a:graphicData uri="http://schemas.openxmlformats.org/drawingml/2006/picture">
                <pic:pic xmlns:pic="http://schemas.openxmlformats.org/drawingml/2006/picture">
                  <pic:nvPicPr>
                    <pic:cNvPr id="1041" name="image16.jpeg"/>
                    <pic:cNvPicPr/>
                  </pic:nvPicPr>
                  <pic:blipFill>
                    <a:blip r:embed="rId24" cstate="print"/>
                    <a:srcRect/>
                    <a:stretch>
                      <a:fillRect/>
                    </a:stretch>
                  </pic:blipFill>
                  <pic:spPr>
                    <a:xfrm>
                      <a:off x="0" y="0"/>
                      <a:ext cx="2370455" cy="2116455"/>
                    </a:xfrm>
                    <a:prstGeom prst="rect">
                      <a:avLst/>
                    </a:prstGeom>
                  </pic:spPr>
                </pic:pic>
              </a:graphicData>
            </a:graphic>
          </wp:inline>
        </w:drawing>
      </w:r>
    </w:p>
    <w:p w:rsidR="00A41667" w:rsidRDefault="00E268B2">
      <w:pPr>
        <w:pStyle w:val="06"/>
        <w:rPr>
          <w:color w:val="auto"/>
        </w:rPr>
      </w:pPr>
      <w:r>
        <w:rPr>
          <w:color w:val="auto"/>
        </w:rPr>
        <w:t>图</w:t>
      </w:r>
      <w:r>
        <w:rPr>
          <w:color w:val="auto"/>
        </w:rPr>
        <w:t xml:space="preserve"> </w:t>
      </w:r>
      <w:r>
        <w:rPr>
          <w:rFonts w:eastAsia="Times New Roman"/>
          <w:color w:val="auto"/>
        </w:rPr>
        <w:t xml:space="preserve">3.15  </w:t>
      </w:r>
      <w:r>
        <w:rPr>
          <w:color w:val="auto"/>
        </w:rPr>
        <w:t>空白方块</w:t>
      </w:r>
    </w:p>
    <w:p w:rsidR="00A41667" w:rsidRDefault="00E268B2">
      <w:pPr>
        <w:pStyle w:val="02"/>
        <w:rPr>
          <w:color w:val="auto"/>
        </w:rPr>
      </w:pPr>
      <w:bookmarkStart w:id="14" w:name="_Toc66889968"/>
      <w:r>
        <w:rPr>
          <w:rFonts w:eastAsia="Times New Roman"/>
          <w:color w:val="auto"/>
        </w:rPr>
        <w:t>3.4</w:t>
      </w:r>
      <w:r>
        <w:rPr>
          <w:rFonts w:hint="eastAsia"/>
          <w:color w:val="auto"/>
        </w:rPr>
        <w:t xml:space="preserve"> </w:t>
      </w:r>
      <w:r>
        <w:rPr>
          <w:color w:val="auto"/>
        </w:rPr>
        <w:t>比赛各阶段的任务</w:t>
      </w:r>
      <w:bookmarkEnd w:id="14"/>
    </w:p>
    <w:p w:rsidR="00A41667" w:rsidRDefault="00E268B2">
      <w:pPr>
        <w:pStyle w:val="08"/>
        <w:rPr>
          <w:color w:val="auto"/>
        </w:rPr>
      </w:pPr>
      <w:r>
        <w:rPr>
          <w:color w:val="auto"/>
        </w:rPr>
        <w:t>自动控制阶段</w:t>
      </w:r>
    </w:p>
    <w:p w:rsidR="00A41667" w:rsidRDefault="00E268B2">
      <w:pPr>
        <w:pStyle w:val="05"/>
        <w:ind w:firstLine="420"/>
        <w:rPr>
          <w:color w:val="auto"/>
        </w:rPr>
      </w:pPr>
      <w:r>
        <w:rPr>
          <w:color w:val="auto"/>
        </w:rPr>
        <w:t>比赛以时长为</w:t>
      </w:r>
      <w:r>
        <w:rPr>
          <w:color w:val="auto"/>
        </w:rPr>
        <w:t xml:space="preserve"> 30s </w:t>
      </w:r>
      <w:r>
        <w:rPr>
          <w:color w:val="auto"/>
        </w:rPr>
        <w:t>的自动控制阶段开始。在比赛开始前有</w:t>
      </w:r>
      <w:r>
        <w:rPr>
          <w:color w:val="auto"/>
        </w:rPr>
        <w:t xml:space="preserve"> 5s </w:t>
      </w:r>
      <w:r>
        <w:rPr>
          <w:color w:val="auto"/>
        </w:rPr>
        <w:t>倒计时，完全纳入启动区内的机器人受比赛系统控制统一断电。倒计时结束后，系统会给机器人通电，机器人运行预置</w:t>
      </w:r>
      <w:r>
        <w:rPr>
          <w:color w:val="auto"/>
        </w:rPr>
        <w:t>的自动程序。</w:t>
      </w:r>
    </w:p>
    <w:p w:rsidR="00A41667" w:rsidRDefault="00E268B2">
      <w:pPr>
        <w:pStyle w:val="05"/>
        <w:ind w:firstLine="420"/>
        <w:rPr>
          <w:color w:val="auto"/>
        </w:rPr>
      </w:pPr>
      <w:r>
        <w:rPr>
          <w:color w:val="auto"/>
        </w:rPr>
        <w:t>在本阶段，机器人只能在本联队半场内通过以下方式得分：</w:t>
      </w:r>
    </w:p>
    <w:p w:rsidR="00A41667" w:rsidRDefault="00E268B2">
      <w:pPr>
        <w:pStyle w:val="05"/>
        <w:ind w:firstLine="420"/>
        <w:rPr>
          <w:color w:val="auto"/>
        </w:rPr>
      </w:pPr>
      <w:r>
        <w:rPr>
          <w:rFonts w:ascii="宋体" w:hAnsi="宋体" w:cs="宋体" w:hint="eastAsia"/>
          <w:color w:val="auto"/>
        </w:rPr>
        <w:t>⑴</w:t>
      </w:r>
      <w:r>
        <w:rPr>
          <w:color w:val="auto"/>
        </w:rPr>
        <w:t xml:space="preserve"> </w:t>
      </w:r>
      <w:r>
        <w:rPr>
          <w:color w:val="auto"/>
        </w:rPr>
        <w:t>将工作台上的字母方块分拣出来，搬运到本联队半场上。分拣一个字母方块必须满足以下三个标准：</w:t>
      </w:r>
    </w:p>
    <w:p w:rsidR="00A41667" w:rsidRDefault="00E268B2">
      <w:pPr>
        <w:pStyle w:val="05"/>
        <w:ind w:firstLine="420"/>
        <w:rPr>
          <w:color w:val="auto"/>
        </w:rPr>
      </w:pPr>
      <w:r>
        <w:rPr>
          <w:color w:val="auto"/>
        </w:rPr>
        <w:t>a)</w:t>
      </w:r>
      <w:r>
        <w:rPr>
          <w:color w:val="auto"/>
        </w:rPr>
        <w:tab/>
      </w:r>
      <w:r>
        <w:rPr>
          <w:color w:val="auto"/>
        </w:rPr>
        <w:t>该字母方块完全离开工作台垂直投影无限向上延伸的空间；</w:t>
      </w:r>
    </w:p>
    <w:p w:rsidR="00A41667" w:rsidRDefault="00E268B2">
      <w:pPr>
        <w:pStyle w:val="05"/>
        <w:ind w:firstLine="420"/>
        <w:rPr>
          <w:color w:val="auto"/>
        </w:rPr>
      </w:pPr>
      <w:r>
        <w:rPr>
          <w:color w:val="auto"/>
        </w:rPr>
        <w:t>b)</w:t>
      </w:r>
      <w:r>
        <w:rPr>
          <w:color w:val="auto"/>
        </w:rPr>
        <w:tab/>
      </w:r>
      <w:r>
        <w:rPr>
          <w:color w:val="auto"/>
        </w:rPr>
        <w:t>该字母方块与本联队机器人没有任何接触；</w:t>
      </w:r>
    </w:p>
    <w:p w:rsidR="00A41667" w:rsidRDefault="00E268B2">
      <w:pPr>
        <w:pStyle w:val="05"/>
        <w:ind w:firstLine="420"/>
        <w:rPr>
          <w:color w:val="auto"/>
        </w:rPr>
      </w:pPr>
      <w:r>
        <w:rPr>
          <w:color w:val="auto"/>
        </w:rPr>
        <w:t>c)</w:t>
      </w:r>
      <w:r>
        <w:rPr>
          <w:color w:val="auto"/>
        </w:rPr>
        <w:tab/>
      </w:r>
      <w:r>
        <w:rPr>
          <w:color w:val="auto"/>
        </w:rPr>
        <w:t>空白方块没有完全离开工作台垂直投影无限向上延伸的空间或与本联队机器人没有接触。</w:t>
      </w:r>
    </w:p>
    <w:p w:rsidR="00A41667" w:rsidRDefault="00E268B2">
      <w:pPr>
        <w:pStyle w:val="05"/>
        <w:ind w:firstLine="420"/>
        <w:rPr>
          <w:color w:val="auto"/>
        </w:rPr>
      </w:pPr>
      <w:r>
        <w:rPr>
          <w:rFonts w:ascii="宋体" w:hAnsi="宋体" w:cs="宋体" w:hint="eastAsia"/>
          <w:color w:val="auto"/>
        </w:rPr>
        <w:t>⑵</w:t>
      </w:r>
      <w:r>
        <w:rPr>
          <w:color w:val="auto"/>
        </w:rPr>
        <w:t xml:space="preserve"> </w:t>
      </w:r>
      <w:r>
        <w:rPr>
          <w:color w:val="auto"/>
        </w:rPr>
        <w:t>收集原料区的小方块，投入对方半场的篮筐中。完成投料任务的标准是小方块完全进入对方篮筐内。</w:t>
      </w:r>
    </w:p>
    <w:p w:rsidR="00A41667" w:rsidRDefault="00E268B2">
      <w:pPr>
        <w:pStyle w:val="05"/>
        <w:ind w:firstLine="420"/>
        <w:rPr>
          <w:color w:val="auto"/>
        </w:rPr>
      </w:pPr>
      <w:r>
        <w:rPr>
          <w:rFonts w:ascii="宋体" w:hAnsi="宋体" w:cs="宋体" w:hint="eastAsia"/>
          <w:color w:val="auto"/>
        </w:rPr>
        <w:t>⑶</w:t>
      </w:r>
      <w:r>
        <w:rPr>
          <w:color w:val="auto"/>
        </w:rPr>
        <w:t xml:space="preserve"> </w:t>
      </w:r>
      <w:r>
        <w:rPr>
          <w:color w:val="auto"/>
        </w:rPr>
        <w:t>收集原料区的小方块击落对方球瓶。完成击落任务的标准是球瓶与废料台没有任何接触，或与机器人有接触。</w:t>
      </w:r>
    </w:p>
    <w:p w:rsidR="00A41667" w:rsidRDefault="00E268B2">
      <w:pPr>
        <w:pStyle w:val="05"/>
        <w:ind w:firstLine="420"/>
        <w:rPr>
          <w:color w:val="auto"/>
        </w:rPr>
      </w:pPr>
      <w:r>
        <w:rPr>
          <w:color w:val="auto"/>
        </w:rPr>
        <w:t>自动控制阶段即将结束时，比赛系统将倒计时</w:t>
      </w:r>
      <w:r>
        <w:rPr>
          <w:color w:val="auto"/>
        </w:rPr>
        <w:t xml:space="preserve"> 5s</w:t>
      </w:r>
      <w:r>
        <w:rPr>
          <w:color w:val="auto"/>
        </w:rPr>
        <w:t>。自动控制阶段结束，比赛系统自动切断机器人电源。</w:t>
      </w:r>
    </w:p>
    <w:p w:rsidR="00A41667" w:rsidRDefault="00E268B2">
      <w:pPr>
        <w:pStyle w:val="05"/>
        <w:ind w:firstLine="420"/>
        <w:rPr>
          <w:color w:val="auto"/>
        </w:rPr>
      </w:pPr>
      <w:r>
        <w:rPr>
          <w:color w:val="auto"/>
        </w:rPr>
        <w:t>机器人可利用场地中的引导线完成自动阶段的搬运任务。参赛队员可以在赛前标定传感器参数，组委会不保证场地照明绝对不变。</w:t>
      </w:r>
    </w:p>
    <w:p w:rsidR="00A41667" w:rsidRDefault="00E268B2">
      <w:pPr>
        <w:pStyle w:val="05"/>
        <w:ind w:firstLine="420"/>
        <w:rPr>
          <w:color w:val="auto"/>
        </w:rPr>
      </w:pPr>
      <w:r>
        <w:rPr>
          <w:color w:val="auto"/>
        </w:rPr>
        <w:t>自动控制阶段结束，裁判完成记分后，将比赛场地恢复初始状态，进行后续比赛。</w:t>
      </w:r>
    </w:p>
    <w:p w:rsidR="00A41667" w:rsidRDefault="00E268B2">
      <w:pPr>
        <w:pStyle w:val="08"/>
        <w:rPr>
          <w:color w:val="auto"/>
        </w:rPr>
      </w:pPr>
      <w:r>
        <w:rPr>
          <w:color w:val="auto"/>
        </w:rPr>
        <w:t>手动控制阶段</w:t>
      </w:r>
    </w:p>
    <w:p w:rsidR="00A41667" w:rsidRDefault="00E268B2">
      <w:pPr>
        <w:pStyle w:val="05"/>
        <w:ind w:firstLine="420"/>
        <w:rPr>
          <w:color w:val="auto"/>
        </w:rPr>
      </w:pPr>
      <w:r>
        <w:rPr>
          <w:color w:val="auto"/>
        </w:rPr>
        <w:t>比赛场地恢复后，准备进入时长为</w:t>
      </w:r>
      <w:r>
        <w:rPr>
          <w:color w:val="auto"/>
        </w:rPr>
        <w:t xml:space="preserve"> 90s </w:t>
      </w:r>
      <w:r>
        <w:rPr>
          <w:color w:val="auto"/>
        </w:rPr>
        <w:t>的手动控制阶段。在比赛系统</w:t>
      </w:r>
      <w:r>
        <w:rPr>
          <w:color w:val="auto"/>
        </w:rPr>
        <w:t xml:space="preserve"> 5s </w:t>
      </w:r>
      <w:r>
        <w:rPr>
          <w:color w:val="auto"/>
        </w:rPr>
        <w:t>倒计时后，比赛系统给机器人通电，手动控制阶段正式开始，操作手可用遥控器对机器人进行手动操作。在此阶段中，机器人在本联队半场内可通过以下方式得分：</w:t>
      </w:r>
    </w:p>
    <w:p w:rsidR="00A41667" w:rsidRDefault="00E268B2">
      <w:pPr>
        <w:pStyle w:val="05"/>
        <w:ind w:firstLine="420"/>
        <w:rPr>
          <w:color w:val="auto"/>
        </w:rPr>
      </w:pPr>
      <w:r>
        <w:rPr>
          <w:rFonts w:ascii="宋体" w:hAnsi="宋体" w:cs="宋体" w:hint="eastAsia"/>
          <w:color w:val="auto"/>
        </w:rPr>
        <w:t>⑴</w:t>
      </w:r>
      <w:r>
        <w:rPr>
          <w:color w:val="auto"/>
        </w:rPr>
        <w:t xml:space="preserve"> </w:t>
      </w:r>
      <w:r>
        <w:rPr>
          <w:color w:val="auto"/>
        </w:rPr>
        <w:t>继续收集本联队半场上的小方块投料，标准同前。</w:t>
      </w:r>
    </w:p>
    <w:p w:rsidR="00A41667" w:rsidRDefault="00E268B2">
      <w:pPr>
        <w:pStyle w:val="05"/>
        <w:ind w:firstLine="420"/>
        <w:rPr>
          <w:color w:val="auto"/>
        </w:rPr>
      </w:pPr>
      <w:r>
        <w:rPr>
          <w:rFonts w:ascii="宋体" w:hAnsi="宋体" w:cs="宋体" w:hint="eastAsia"/>
          <w:color w:val="auto"/>
        </w:rPr>
        <w:t>⑵</w:t>
      </w:r>
      <w:r>
        <w:rPr>
          <w:color w:val="auto"/>
        </w:rPr>
        <w:t xml:space="preserve"> </w:t>
      </w:r>
      <w:r>
        <w:rPr>
          <w:color w:val="auto"/>
        </w:rPr>
        <w:t>继续收集本联队半场上的小方块击落对方球瓶，标准同前。</w:t>
      </w:r>
    </w:p>
    <w:p w:rsidR="00A41667" w:rsidRDefault="00E268B2">
      <w:pPr>
        <w:pStyle w:val="05"/>
        <w:ind w:firstLine="420"/>
        <w:rPr>
          <w:color w:val="auto"/>
        </w:rPr>
      </w:pPr>
      <w:r>
        <w:rPr>
          <w:rFonts w:ascii="宋体" w:hAnsi="宋体" w:cs="宋体" w:hint="eastAsia"/>
          <w:color w:val="auto"/>
        </w:rPr>
        <w:t>⑶</w:t>
      </w:r>
      <w:r>
        <w:rPr>
          <w:color w:val="auto"/>
        </w:rPr>
        <w:t xml:space="preserve"> </w:t>
      </w:r>
      <w:r>
        <w:rPr>
          <w:color w:val="auto"/>
        </w:rPr>
        <w:t>将本联队半场内的字母方块挂在悬挂装置上。有效悬挂的标准是</w:t>
      </w:r>
    </w:p>
    <w:p w:rsidR="00A41667" w:rsidRDefault="00E268B2">
      <w:pPr>
        <w:pStyle w:val="05"/>
        <w:ind w:firstLine="420"/>
        <w:rPr>
          <w:color w:val="auto"/>
        </w:rPr>
      </w:pPr>
      <w:r>
        <w:rPr>
          <w:color w:val="auto"/>
        </w:rPr>
        <w:t>a)</w:t>
      </w:r>
      <w:r>
        <w:rPr>
          <w:color w:val="auto"/>
        </w:rPr>
        <w:tab/>
      </w:r>
      <w:r>
        <w:rPr>
          <w:color w:val="auto"/>
        </w:rPr>
        <w:t>悬挂装置的横梁穿入某个字母方块的盲孔使其悬空；</w:t>
      </w:r>
    </w:p>
    <w:p w:rsidR="00A41667" w:rsidRDefault="00E268B2">
      <w:pPr>
        <w:pStyle w:val="05"/>
        <w:ind w:firstLine="420"/>
        <w:rPr>
          <w:color w:val="auto"/>
        </w:rPr>
      </w:pPr>
      <w:r>
        <w:rPr>
          <w:color w:val="auto"/>
        </w:rPr>
        <w:lastRenderedPageBreak/>
        <w:t>b)</w:t>
      </w:r>
      <w:r>
        <w:rPr>
          <w:color w:val="auto"/>
        </w:rPr>
        <w:tab/>
      </w:r>
      <w:r>
        <w:rPr>
          <w:color w:val="auto"/>
        </w:rPr>
        <w:t>该字母方块与本联队机器人、其它比赛用品均无接触。</w:t>
      </w:r>
    </w:p>
    <w:p w:rsidR="00A41667" w:rsidRDefault="00E268B2">
      <w:pPr>
        <w:pStyle w:val="05"/>
        <w:ind w:firstLine="420"/>
        <w:rPr>
          <w:color w:val="auto"/>
        </w:rPr>
      </w:pPr>
      <w:r>
        <w:rPr>
          <w:rFonts w:ascii="宋体" w:hAnsi="宋体" w:cs="宋体" w:hint="eastAsia"/>
          <w:color w:val="auto"/>
        </w:rPr>
        <w:t>⑷</w:t>
      </w:r>
      <w:r>
        <w:rPr>
          <w:color w:val="auto"/>
        </w:rPr>
        <w:t xml:space="preserve"> </w:t>
      </w:r>
      <w:r>
        <w:rPr>
          <w:color w:val="auto"/>
        </w:rPr>
        <w:t>将本联队半场内的字母方块和空白方块堆叠在质检区。有效堆叠的标准是</w:t>
      </w:r>
    </w:p>
    <w:p w:rsidR="00A41667" w:rsidRDefault="00E268B2">
      <w:pPr>
        <w:pStyle w:val="05"/>
        <w:ind w:firstLine="420"/>
        <w:rPr>
          <w:color w:val="auto"/>
        </w:rPr>
      </w:pPr>
      <w:r>
        <w:rPr>
          <w:color w:val="auto"/>
        </w:rPr>
        <w:t>a)</w:t>
      </w:r>
      <w:r>
        <w:rPr>
          <w:color w:val="auto"/>
        </w:rPr>
        <w:tab/>
      </w:r>
      <w:r>
        <w:rPr>
          <w:color w:val="auto"/>
        </w:rPr>
        <w:t>完全在质检</w:t>
      </w:r>
      <w:r>
        <w:rPr>
          <w:color w:val="auto"/>
        </w:rPr>
        <w:t>区内的空白方块在最下层，与质检区地面接触；</w:t>
      </w:r>
    </w:p>
    <w:p w:rsidR="00A41667" w:rsidRDefault="00E268B2">
      <w:pPr>
        <w:pStyle w:val="05"/>
        <w:ind w:firstLine="420"/>
        <w:rPr>
          <w:color w:val="auto"/>
        </w:rPr>
      </w:pPr>
      <w:r>
        <w:rPr>
          <w:color w:val="auto"/>
        </w:rPr>
        <w:t>b)</w:t>
      </w:r>
      <w:r>
        <w:rPr>
          <w:color w:val="auto"/>
        </w:rPr>
        <w:tab/>
      </w:r>
      <w:r>
        <w:rPr>
          <w:color w:val="auto"/>
        </w:rPr>
        <w:t>字母方块与空白方块或另一已堆叠的字母方块的上表面接触；</w:t>
      </w:r>
    </w:p>
    <w:p w:rsidR="00A41667" w:rsidRDefault="00E268B2">
      <w:pPr>
        <w:pStyle w:val="05"/>
        <w:ind w:firstLine="420"/>
        <w:rPr>
          <w:color w:val="auto"/>
        </w:rPr>
      </w:pPr>
      <w:r>
        <w:rPr>
          <w:color w:val="auto"/>
        </w:rPr>
        <w:t>c)</w:t>
      </w:r>
      <w:r>
        <w:rPr>
          <w:color w:val="auto"/>
        </w:rPr>
        <w:tab/>
      </w:r>
      <w:r>
        <w:rPr>
          <w:color w:val="auto"/>
        </w:rPr>
        <w:t>字母方块与质检区地面、本联队机器人和其它比赛用品均无接触。</w:t>
      </w:r>
    </w:p>
    <w:p w:rsidR="00A41667" w:rsidRDefault="00E268B2">
      <w:pPr>
        <w:pStyle w:val="05"/>
        <w:ind w:firstLine="420"/>
        <w:rPr>
          <w:color w:val="auto"/>
        </w:rPr>
      </w:pPr>
      <w:r>
        <w:rPr>
          <w:color w:val="auto"/>
        </w:rPr>
        <w:t>手动控制阶段即将结束时，比赛系统将倒计时</w:t>
      </w:r>
      <w:r>
        <w:rPr>
          <w:color w:val="auto"/>
        </w:rPr>
        <w:t xml:space="preserve"> 5s</w:t>
      </w:r>
      <w:r>
        <w:rPr>
          <w:color w:val="auto"/>
        </w:rPr>
        <w:t>。手动阶段控制结束前，机器人应部分进入启动区。手动控制阶段结束，比赛系统自动切断机器人电源。</w:t>
      </w:r>
    </w:p>
    <w:p w:rsidR="00A41667" w:rsidRDefault="00E268B2">
      <w:pPr>
        <w:pStyle w:val="08"/>
        <w:rPr>
          <w:color w:val="auto"/>
        </w:rPr>
      </w:pPr>
      <w:r>
        <w:rPr>
          <w:color w:val="auto"/>
        </w:rPr>
        <w:t>强化改装阶段</w:t>
      </w:r>
    </w:p>
    <w:p w:rsidR="00A41667" w:rsidRDefault="00E268B2">
      <w:pPr>
        <w:pStyle w:val="05"/>
        <w:ind w:firstLine="420"/>
        <w:rPr>
          <w:color w:val="auto"/>
        </w:rPr>
      </w:pPr>
      <w:r>
        <w:rPr>
          <w:color w:val="auto"/>
        </w:rPr>
        <w:t>手动控制阶段结束后，比赛立即进入时长为</w:t>
      </w:r>
      <w:r>
        <w:rPr>
          <w:color w:val="auto"/>
        </w:rPr>
        <w:t xml:space="preserve"> </w:t>
      </w:r>
      <w:r>
        <w:rPr>
          <w:rFonts w:eastAsia="Times New Roman"/>
          <w:color w:val="auto"/>
        </w:rPr>
        <w:t xml:space="preserve">60s </w:t>
      </w:r>
      <w:r>
        <w:rPr>
          <w:color w:val="auto"/>
        </w:rPr>
        <w:t>的强化改装阶段。参赛队员可将已部分进入启动区的机器人移出场地进行强化改装。移出机器人时应注意避免接触或移动比赛用品或得分物品。如果机器人上</w:t>
      </w:r>
      <w:r>
        <w:rPr>
          <w:color w:val="auto"/>
        </w:rPr>
        <w:t>有比赛用品或得分物品，必须将其取出放在机器人所在位置附近不得分的区域。一旦机器人移出场外，其上的比赛用品或得分物品将由裁判取走，不再在该场比赛中使用。</w:t>
      </w:r>
    </w:p>
    <w:p w:rsidR="00A41667" w:rsidRDefault="00E268B2">
      <w:pPr>
        <w:pStyle w:val="05"/>
        <w:ind w:firstLine="420"/>
        <w:rPr>
          <w:color w:val="auto"/>
        </w:rPr>
      </w:pPr>
      <w:r>
        <w:rPr>
          <w:color w:val="auto"/>
        </w:rPr>
        <w:t>改装后的机器人长宽须符合尺寸限制，但高度不限。</w:t>
      </w:r>
    </w:p>
    <w:p w:rsidR="00A41667" w:rsidRDefault="00E268B2">
      <w:pPr>
        <w:pStyle w:val="05"/>
        <w:ind w:firstLine="420"/>
        <w:rPr>
          <w:color w:val="auto"/>
        </w:rPr>
      </w:pPr>
      <w:r>
        <w:rPr>
          <w:color w:val="auto"/>
        </w:rPr>
        <w:t>强化改装阶段还剩</w:t>
      </w:r>
      <w:r>
        <w:rPr>
          <w:color w:val="auto"/>
        </w:rPr>
        <w:t xml:space="preserve"> 30s </w:t>
      </w:r>
      <w:r>
        <w:rPr>
          <w:color w:val="auto"/>
        </w:rPr>
        <w:t>时，比赛系统会进行提示。当强化改装即将结束时，有</w:t>
      </w:r>
      <w:r>
        <w:rPr>
          <w:color w:val="auto"/>
        </w:rPr>
        <w:t xml:space="preserve"> 10s </w:t>
      </w:r>
      <w:r>
        <w:rPr>
          <w:color w:val="auto"/>
        </w:rPr>
        <w:t>倒计时，倒计时结束前参赛队员应将机器人放回启动区，机器人应至少部分进入启动区。</w:t>
      </w:r>
    </w:p>
    <w:p w:rsidR="00A41667" w:rsidRDefault="00E268B2">
      <w:pPr>
        <w:pStyle w:val="08"/>
        <w:rPr>
          <w:color w:val="auto"/>
        </w:rPr>
      </w:pPr>
      <w:r>
        <w:rPr>
          <w:color w:val="auto"/>
        </w:rPr>
        <w:t>全力一搏阶段</w:t>
      </w:r>
    </w:p>
    <w:p w:rsidR="00A41667" w:rsidRDefault="00E268B2">
      <w:pPr>
        <w:pStyle w:val="05"/>
        <w:ind w:firstLine="420"/>
        <w:rPr>
          <w:color w:val="auto"/>
        </w:rPr>
      </w:pPr>
      <w:r>
        <w:rPr>
          <w:color w:val="auto"/>
        </w:rPr>
        <w:t>全力一搏阶段时长为</w:t>
      </w:r>
      <w:r>
        <w:rPr>
          <w:color w:val="auto"/>
        </w:rPr>
        <w:t xml:space="preserve"> 90s</w:t>
      </w:r>
      <w:r>
        <w:rPr>
          <w:color w:val="auto"/>
        </w:rPr>
        <w:t>。</w:t>
      </w:r>
    </w:p>
    <w:p w:rsidR="00A41667" w:rsidRDefault="00E268B2">
      <w:pPr>
        <w:pStyle w:val="05"/>
        <w:ind w:firstLine="420"/>
        <w:rPr>
          <w:color w:val="auto"/>
        </w:rPr>
      </w:pPr>
      <w:r>
        <w:rPr>
          <w:color w:val="auto"/>
        </w:rPr>
        <w:t>场上参赛队员准备就绪后，比赛系统有</w:t>
      </w:r>
      <w:r>
        <w:rPr>
          <w:color w:val="auto"/>
        </w:rPr>
        <w:t xml:space="preserve"> 5s </w:t>
      </w:r>
      <w:r>
        <w:rPr>
          <w:color w:val="auto"/>
        </w:rPr>
        <w:t>倒计时，</w:t>
      </w:r>
      <w:r>
        <w:rPr>
          <w:color w:val="auto"/>
        </w:rPr>
        <w:t xml:space="preserve">90s </w:t>
      </w:r>
      <w:r>
        <w:rPr>
          <w:color w:val="auto"/>
        </w:rPr>
        <w:t>的全力一搏阶段正式开始，比赛系统给机器人通电，</w:t>
      </w:r>
      <w:r>
        <w:rPr>
          <w:color w:val="auto"/>
        </w:rPr>
        <w:t>机器人的运行采用手动控制。</w:t>
      </w:r>
    </w:p>
    <w:p w:rsidR="00A41667" w:rsidRDefault="00E268B2">
      <w:pPr>
        <w:pStyle w:val="05"/>
        <w:ind w:firstLine="420"/>
        <w:rPr>
          <w:color w:val="auto"/>
        </w:rPr>
      </w:pPr>
      <w:r>
        <w:rPr>
          <w:color w:val="auto"/>
        </w:rPr>
        <w:t>在全力一搏阶段，机器人可在本联队半场内通过完成以下任务得分：</w:t>
      </w:r>
    </w:p>
    <w:p w:rsidR="00A41667" w:rsidRDefault="00E268B2">
      <w:pPr>
        <w:pStyle w:val="05"/>
        <w:ind w:firstLine="420"/>
        <w:rPr>
          <w:color w:val="auto"/>
        </w:rPr>
      </w:pPr>
      <w:r>
        <w:rPr>
          <w:rFonts w:ascii="宋体" w:hAnsi="宋体" w:cs="宋体" w:hint="eastAsia"/>
          <w:color w:val="auto"/>
        </w:rPr>
        <w:t>⑴</w:t>
      </w:r>
      <w:r>
        <w:rPr>
          <w:color w:val="auto"/>
        </w:rPr>
        <w:t xml:space="preserve"> </w:t>
      </w:r>
      <w:r>
        <w:rPr>
          <w:color w:val="auto"/>
        </w:rPr>
        <w:t>继续收集本联队半场上的小方块投料，标准同前。</w:t>
      </w:r>
    </w:p>
    <w:p w:rsidR="00A41667" w:rsidRDefault="00E268B2">
      <w:pPr>
        <w:pStyle w:val="05"/>
        <w:ind w:firstLine="420"/>
        <w:rPr>
          <w:color w:val="auto"/>
        </w:rPr>
      </w:pPr>
      <w:r>
        <w:rPr>
          <w:rFonts w:ascii="宋体" w:hAnsi="宋体" w:cs="宋体" w:hint="eastAsia"/>
          <w:color w:val="auto"/>
        </w:rPr>
        <w:t>⑵</w:t>
      </w:r>
      <w:r>
        <w:rPr>
          <w:color w:val="auto"/>
        </w:rPr>
        <w:t xml:space="preserve"> </w:t>
      </w:r>
      <w:r>
        <w:rPr>
          <w:color w:val="auto"/>
        </w:rPr>
        <w:t>继续收集本联队半场上的小方块击落对方球瓶，标准同前。</w:t>
      </w:r>
    </w:p>
    <w:p w:rsidR="00A41667" w:rsidRDefault="00E268B2">
      <w:pPr>
        <w:pStyle w:val="05"/>
        <w:ind w:firstLine="420"/>
        <w:rPr>
          <w:color w:val="auto"/>
        </w:rPr>
      </w:pPr>
      <w:r>
        <w:rPr>
          <w:rFonts w:ascii="宋体" w:hAnsi="宋体" w:cs="宋体" w:hint="eastAsia"/>
          <w:color w:val="auto"/>
        </w:rPr>
        <w:t>⑶</w:t>
      </w:r>
      <w:r>
        <w:rPr>
          <w:color w:val="auto"/>
        </w:rPr>
        <w:t xml:space="preserve"> </w:t>
      </w:r>
      <w:r>
        <w:rPr>
          <w:color w:val="auto"/>
        </w:rPr>
        <w:t>将本联队半场内的字母方块悬挂在悬挂装置上，标准同前。</w:t>
      </w:r>
    </w:p>
    <w:p w:rsidR="00A41667" w:rsidRDefault="00E268B2">
      <w:pPr>
        <w:pStyle w:val="05"/>
        <w:ind w:firstLine="420"/>
        <w:rPr>
          <w:color w:val="auto"/>
        </w:rPr>
      </w:pPr>
      <w:r>
        <w:rPr>
          <w:rFonts w:ascii="宋体" w:hAnsi="宋体" w:cs="宋体" w:hint="eastAsia"/>
          <w:color w:val="auto"/>
        </w:rPr>
        <w:t>⑷</w:t>
      </w:r>
      <w:r>
        <w:rPr>
          <w:color w:val="auto"/>
        </w:rPr>
        <w:t xml:space="preserve"> </w:t>
      </w:r>
      <w:r>
        <w:rPr>
          <w:color w:val="auto"/>
        </w:rPr>
        <w:t>将本联队半场内的字母方块、空白方块堆叠在质检区，标准同前。</w:t>
      </w:r>
    </w:p>
    <w:p w:rsidR="00A41667" w:rsidRDefault="00E268B2">
      <w:pPr>
        <w:pStyle w:val="05"/>
        <w:ind w:firstLine="420"/>
        <w:rPr>
          <w:color w:val="auto"/>
        </w:rPr>
      </w:pPr>
      <w:r>
        <w:rPr>
          <w:color w:val="auto"/>
        </w:rPr>
        <w:t>全力一搏阶段结束，比赛系统会统一切断机器人电源。操作手需将遥控器放入场外置物筐内，明显远离场地框架，裁判统计得分。</w:t>
      </w:r>
    </w:p>
    <w:p w:rsidR="00A41667" w:rsidRDefault="00E268B2">
      <w:pPr>
        <w:pStyle w:val="02"/>
        <w:rPr>
          <w:color w:val="auto"/>
        </w:rPr>
      </w:pPr>
      <w:bookmarkStart w:id="15" w:name="_Toc66889969"/>
      <w:r>
        <w:rPr>
          <w:rFonts w:eastAsia="Times New Roman"/>
          <w:color w:val="auto"/>
        </w:rPr>
        <w:t>3.5</w:t>
      </w:r>
      <w:r>
        <w:rPr>
          <w:rFonts w:hint="eastAsia"/>
          <w:color w:val="auto"/>
        </w:rPr>
        <w:t xml:space="preserve"> </w:t>
      </w:r>
      <w:r>
        <w:rPr>
          <w:color w:val="auto"/>
        </w:rPr>
        <w:t>单场比赛流程</w:t>
      </w:r>
      <w:bookmarkEnd w:id="15"/>
    </w:p>
    <w:p w:rsidR="00A41667" w:rsidRDefault="00E268B2">
      <w:pPr>
        <w:pStyle w:val="05"/>
        <w:ind w:firstLine="420"/>
        <w:rPr>
          <w:color w:val="auto"/>
        </w:rPr>
      </w:pPr>
      <w:r>
        <w:rPr>
          <w:color w:val="auto"/>
        </w:rPr>
        <w:t>每场比赛的流程如图</w:t>
      </w:r>
      <w:r>
        <w:rPr>
          <w:color w:val="auto"/>
        </w:rPr>
        <w:t xml:space="preserve"> </w:t>
      </w:r>
      <w:r>
        <w:rPr>
          <w:rFonts w:eastAsia="Times New Roman"/>
          <w:color w:val="auto"/>
        </w:rPr>
        <w:t xml:space="preserve">3.16 </w:t>
      </w:r>
      <w:r>
        <w:rPr>
          <w:color w:val="auto"/>
        </w:rPr>
        <w:t>所示。</w:t>
      </w:r>
    </w:p>
    <w:p w:rsidR="00A41667" w:rsidRDefault="00E268B2">
      <w:pPr>
        <w:pStyle w:val="07"/>
      </w:pPr>
      <w:r>
        <w:rPr>
          <w:noProof/>
          <w:lang w:val="en-US" w:bidi="ar-SA"/>
        </w:rPr>
        <w:lastRenderedPageBreak/>
        <w:drawing>
          <wp:inline distT="0" distB="0" distL="0" distR="0">
            <wp:extent cx="3675380" cy="6135370"/>
            <wp:effectExtent l="0" t="0" r="0" b="0"/>
            <wp:docPr id="1042" name="image17.jpeg"/>
            <wp:cNvGraphicFramePr/>
            <a:graphic xmlns:a="http://schemas.openxmlformats.org/drawingml/2006/main">
              <a:graphicData uri="http://schemas.openxmlformats.org/drawingml/2006/picture">
                <pic:pic xmlns:pic="http://schemas.openxmlformats.org/drawingml/2006/picture">
                  <pic:nvPicPr>
                    <pic:cNvPr id="1042" name="image17.jpeg"/>
                    <pic:cNvPicPr/>
                  </pic:nvPicPr>
                  <pic:blipFill>
                    <a:blip r:embed="rId25" cstate="print"/>
                    <a:srcRect/>
                    <a:stretch>
                      <a:fillRect/>
                    </a:stretch>
                  </pic:blipFill>
                  <pic:spPr>
                    <a:xfrm>
                      <a:off x="0" y="0"/>
                      <a:ext cx="3675380" cy="6135370"/>
                    </a:xfrm>
                    <a:prstGeom prst="rect">
                      <a:avLst/>
                    </a:prstGeom>
                  </pic:spPr>
                </pic:pic>
              </a:graphicData>
            </a:graphic>
          </wp:inline>
        </w:drawing>
      </w:r>
    </w:p>
    <w:p w:rsidR="00A41667" w:rsidRDefault="00E268B2">
      <w:pPr>
        <w:pStyle w:val="06"/>
        <w:rPr>
          <w:color w:val="auto"/>
        </w:rPr>
      </w:pPr>
      <w:r>
        <w:rPr>
          <w:color w:val="auto"/>
        </w:rPr>
        <w:t>图</w:t>
      </w:r>
      <w:r>
        <w:rPr>
          <w:color w:val="auto"/>
        </w:rPr>
        <w:t xml:space="preserve"> </w:t>
      </w:r>
      <w:r>
        <w:rPr>
          <w:rFonts w:eastAsia="Times New Roman"/>
          <w:color w:val="auto"/>
        </w:rPr>
        <w:t xml:space="preserve">3.16  </w:t>
      </w:r>
      <w:r>
        <w:rPr>
          <w:color w:val="auto"/>
        </w:rPr>
        <w:t>单场比赛流程图</w:t>
      </w:r>
    </w:p>
    <w:p w:rsidR="00A41667" w:rsidRDefault="00E268B2">
      <w:pPr>
        <w:pStyle w:val="02"/>
        <w:rPr>
          <w:color w:val="auto"/>
        </w:rPr>
      </w:pPr>
      <w:bookmarkStart w:id="16" w:name="_Toc66889970"/>
      <w:r>
        <w:rPr>
          <w:color w:val="auto"/>
        </w:rPr>
        <w:t>3.6</w:t>
      </w:r>
      <w:r>
        <w:rPr>
          <w:rFonts w:hint="eastAsia"/>
          <w:color w:val="auto"/>
        </w:rPr>
        <w:t xml:space="preserve"> </w:t>
      </w:r>
      <w:r>
        <w:rPr>
          <w:color w:val="auto"/>
        </w:rPr>
        <w:t>记分</w:t>
      </w:r>
      <w:bookmarkEnd w:id="16"/>
    </w:p>
    <w:p w:rsidR="00A41667" w:rsidRDefault="00E268B2">
      <w:pPr>
        <w:pStyle w:val="05"/>
        <w:ind w:firstLine="420"/>
        <w:rPr>
          <w:color w:val="auto"/>
        </w:rPr>
      </w:pPr>
      <w:r>
        <w:rPr>
          <w:color w:val="auto"/>
        </w:rPr>
        <w:t>裁判在自动控制阶段结束和全力一搏阶段结束后分两次统计自动得分和手动得分。记分仅依据两阶段结束时场上完成任务的情况，与比赛过程中的情况无关。记分标准如下：</w:t>
      </w:r>
    </w:p>
    <w:p w:rsidR="00A41667" w:rsidRDefault="00E268B2">
      <w:pPr>
        <w:pStyle w:val="08"/>
        <w:rPr>
          <w:color w:val="auto"/>
        </w:rPr>
      </w:pPr>
      <w:r>
        <w:rPr>
          <w:color w:val="auto"/>
        </w:rPr>
        <w:t>自动阶段得分</w:t>
      </w:r>
    </w:p>
    <w:p w:rsidR="00A41667" w:rsidRDefault="00E268B2">
      <w:pPr>
        <w:pStyle w:val="05"/>
        <w:ind w:firstLine="420"/>
        <w:rPr>
          <w:color w:val="auto"/>
        </w:rPr>
      </w:pPr>
      <w:r>
        <w:rPr>
          <w:color w:val="auto"/>
        </w:rPr>
        <w:t>每成功分拣一个字母方块记</w:t>
      </w:r>
      <w:r>
        <w:rPr>
          <w:color w:val="auto"/>
        </w:rPr>
        <w:t xml:space="preserve"> </w:t>
      </w:r>
      <w:r>
        <w:rPr>
          <w:rFonts w:eastAsia="Times New Roman"/>
          <w:color w:val="auto"/>
        </w:rPr>
        <w:t xml:space="preserve">20 </w:t>
      </w:r>
      <w:r>
        <w:rPr>
          <w:color w:val="auto"/>
        </w:rPr>
        <w:t>分。</w:t>
      </w:r>
    </w:p>
    <w:p w:rsidR="00A41667" w:rsidRDefault="00E268B2">
      <w:pPr>
        <w:pStyle w:val="05"/>
        <w:ind w:firstLine="420"/>
        <w:rPr>
          <w:color w:val="auto"/>
        </w:rPr>
      </w:pPr>
      <w:r>
        <w:rPr>
          <w:color w:val="auto"/>
        </w:rPr>
        <w:t>在对方半场篮筐内每成功投入一个小方块记</w:t>
      </w:r>
      <w:r>
        <w:rPr>
          <w:color w:val="auto"/>
        </w:rPr>
        <w:t xml:space="preserve"> 20 </w:t>
      </w:r>
      <w:r>
        <w:rPr>
          <w:color w:val="auto"/>
        </w:rPr>
        <w:t>分。</w:t>
      </w:r>
    </w:p>
    <w:p w:rsidR="00A41667" w:rsidRDefault="00E268B2">
      <w:pPr>
        <w:pStyle w:val="05"/>
        <w:ind w:firstLine="420"/>
        <w:rPr>
          <w:color w:val="auto"/>
        </w:rPr>
      </w:pPr>
      <w:r>
        <w:rPr>
          <w:color w:val="auto"/>
        </w:rPr>
        <w:t>每击落对方一个球瓶记</w:t>
      </w:r>
      <w:r>
        <w:rPr>
          <w:color w:val="auto"/>
        </w:rPr>
        <w:t xml:space="preserve"> 10 </w:t>
      </w:r>
      <w:r>
        <w:rPr>
          <w:color w:val="auto"/>
        </w:rPr>
        <w:t>分，全部击落加记</w:t>
      </w:r>
      <w:r>
        <w:rPr>
          <w:color w:val="auto"/>
        </w:rPr>
        <w:t xml:space="preserve"> 50 </w:t>
      </w:r>
      <w:r>
        <w:rPr>
          <w:color w:val="auto"/>
        </w:rPr>
        <w:t>分。</w:t>
      </w:r>
    </w:p>
    <w:p w:rsidR="00A41667" w:rsidRDefault="00E268B2">
      <w:pPr>
        <w:pStyle w:val="08"/>
        <w:rPr>
          <w:color w:val="auto"/>
        </w:rPr>
      </w:pPr>
      <w:r>
        <w:rPr>
          <w:color w:val="auto"/>
        </w:rPr>
        <w:t>手动阶段得分</w:t>
      </w:r>
    </w:p>
    <w:p w:rsidR="00A41667" w:rsidRDefault="00E268B2">
      <w:pPr>
        <w:pStyle w:val="05"/>
        <w:ind w:firstLine="420"/>
        <w:rPr>
          <w:color w:val="auto"/>
        </w:rPr>
      </w:pPr>
      <w:r>
        <w:rPr>
          <w:color w:val="auto"/>
        </w:rPr>
        <w:t>在对方半场篮筐内每成功投入一个小方块记</w:t>
      </w:r>
      <w:r>
        <w:rPr>
          <w:color w:val="auto"/>
        </w:rPr>
        <w:t xml:space="preserve"> 20 </w:t>
      </w:r>
      <w:r>
        <w:rPr>
          <w:color w:val="auto"/>
        </w:rPr>
        <w:t>分。</w:t>
      </w:r>
    </w:p>
    <w:p w:rsidR="00A41667" w:rsidRDefault="00E268B2">
      <w:pPr>
        <w:pStyle w:val="05"/>
        <w:ind w:firstLine="420"/>
        <w:rPr>
          <w:color w:val="auto"/>
        </w:rPr>
      </w:pPr>
      <w:r>
        <w:rPr>
          <w:color w:val="auto"/>
        </w:rPr>
        <w:lastRenderedPageBreak/>
        <w:t>每击落对方一个球瓶得</w:t>
      </w:r>
      <w:r>
        <w:rPr>
          <w:color w:val="auto"/>
        </w:rPr>
        <w:t xml:space="preserve"> 20 </w:t>
      </w:r>
      <w:r>
        <w:rPr>
          <w:color w:val="auto"/>
        </w:rPr>
        <w:t>分，全部击落加记</w:t>
      </w:r>
      <w:r>
        <w:rPr>
          <w:color w:val="auto"/>
        </w:rPr>
        <w:t xml:space="preserve"> 50 </w:t>
      </w:r>
      <w:r>
        <w:rPr>
          <w:color w:val="auto"/>
        </w:rPr>
        <w:t>分。</w:t>
      </w:r>
    </w:p>
    <w:p w:rsidR="00A41667" w:rsidRDefault="00E268B2">
      <w:pPr>
        <w:pStyle w:val="05"/>
        <w:ind w:firstLine="420"/>
        <w:rPr>
          <w:color w:val="auto"/>
        </w:rPr>
      </w:pPr>
      <w:r>
        <w:rPr>
          <w:color w:val="auto"/>
        </w:rPr>
        <w:t>在本联队悬挂装置</w:t>
      </w:r>
      <w:r>
        <w:rPr>
          <w:color w:val="auto"/>
        </w:rPr>
        <w:t xml:space="preserve"> 1~5 </w:t>
      </w:r>
      <w:r>
        <w:rPr>
          <w:color w:val="auto"/>
        </w:rPr>
        <w:t>号横</w:t>
      </w:r>
      <w:r>
        <w:rPr>
          <w:color w:val="auto"/>
        </w:rPr>
        <w:t>梁上每成功悬挂一个字母方块记</w:t>
      </w:r>
      <w:r>
        <w:rPr>
          <w:color w:val="auto"/>
        </w:rPr>
        <w:t xml:space="preserve"> 30 </w:t>
      </w:r>
      <w:r>
        <w:rPr>
          <w:color w:val="auto"/>
        </w:rPr>
        <w:t>分，成功悬挂所有字母方块且字母块从上至下顺序为</w:t>
      </w:r>
      <w:r>
        <w:rPr>
          <w:color w:val="auto"/>
        </w:rPr>
        <w:t xml:space="preserve"> M</w:t>
      </w:r>
      <w:r>
        <w:rPr>
          <w:color w:val="auto"/>
        </w:rPr>
        <w:t>、</w:t>
      </w:r>
      <w:r>
        <w:rPr>
          <w:color w:val="auto"/>
        </w:rPr>
        <w:t>A</w:t>
      </w:r>
      <w:r>
        <w:rPr>
          <w:color w:val="auto"/>
        </w:rPr>
        <w:t>、</w:t>
      </w:r>
      <w:r>
        <w:rPr>
          <w:color w:val="auto"/>
        </w:rPr>
        <w:t>K</w:t>
      </w:r>
      <w:r>
        <w:rPr>
          <w:color w:val="auto"/>
        </w:rPr>
        <w:t>、</w:t>
      </w:r>
      <w:r>
        <w:rPr>
          <w:color w:val="auto"/>
        </w:rPr>
        <w:t>E</w:t>
      </w:r>
      <w:r>
        <w:rPr>
          <w:color w:val="auto"/>
        </w:rPr>
        <w:t>、</w:t>
      </w:r>
      <w:r>
        <w:rPr>
          <w:color w:val="auto"/>
        </w:rPr>
        <w:t xml:space="preserve">X </w:t>
      </w:r>
      <w:r>
        <w:rPr>
          <w:color w:val="auto"/>
        </w:rPr>
        <w:t>加记</w:t>
      </w:r>
      <w:r>
        <w:rPr>
          <w:color w:val="auto"/>
        </w:rPr>
        <w:t xml:space="preserve"> 50 </w:t>
      </w:r>
      <w:r>
        <w:rPr>
          <w:color w:val="auto"/>
        </w:rPr>
        <w:t>分。</w:t>
      </w:r>
    </w:p>
    <w:p w:rsidR="00A41667" w:rsidRDefault="00E268B2">
      <w:pPr>
        <w:pStyle w:val="05"/>
        <w:ind w:firstLine="420"/>
        <w:rPr>
          <w:color w:val="auto"/>
        </w:rPr>
      </w:pPr>
      <w:r>
        <w:rPr>
          <w:color w:val="auto"/>
        </w:rPr>
        <w:t>在质检区堆叠字母方块的第</w:t>
      </w:r>
      <w:r>
        <w:rPr>
          <w:color w:val="auto"/>
        </w:rPr>
        <w:t xml:space="preserve"> 2 </w:t>
      </w:r>
      <w:r>
        <w:rPr>
          <w:color w:val="auto"/>
        </w:rPr>
        <w:t>层开始记分，每堆叠一层记</w:t>
      </w:r>
      <w:r>
        <w:rPr>
          <w:color w:val="auto"/>
        </w:rPr>
        <w:t xml:space="preserve"> 20 </w:t>
      </w:r>
      <w:r>
        <w:rPr>
          <w:color w:val="auto"/>
        </w:rPr>
        <w:t>分，如堆叠至第</w:t>
      </w:r>
      <w:r>
        <w:rPr>
          <w:color w:val="auto"/>
        </w:rPr>
        <w:t xml:space="preserve"> 6 </w:t>
      </w:r>
      <w:r>
        <w:rPr>
          <w:color w:val="auto"/>
        </w:rPr>
        <w:t>层且字母方块从上至下顺序为</w:t>
      </w:r>
      <w:r>
        <w:rPr>
          <w:color w:val="auto"/>
        </w:rPr>
        <w:t xml:space="preserve"> M</w:t>
      </w:r>
      <w:r>
        <w:rPr>
          <w:color w:val="auto"/>
        </w:rPr>
        <w:t>、</w:t>
      </w:r>
      <w:r>
        <w:rPr>
          <w:color w:val="auto"/>
        </w:rPr>
        <w:t>A</w:t>
      </w:r>
      <w:r>
        <w:rPr>
          <w:color w:val="auto"/>
        </w:rPr>
        <w:t>、</w:t>
      </w:r>
      <w:r>
        <w:rPr>
          <w:color w:val="auto"/>
        </w:rPr>
        <w:t>K</w:t>
      </w:r>
      <w:r>
        <w:rPr>
          <w:color w:val="auto"/>
        </w:rPr>
        <w:t>、</w:t>
      </w:r>
      <w:r>
        <w:rPr>
          <w:color w:val="auto"/>
        </w:rPr>
        <w:t>E</w:t>
      </w:r>
      <w:r>
        <w:rPr>
          <w:color w:val="auto"/>
        </w:rPr>
        <w:t>、</w:t>
      </w:r>
      <w:r>
        <w:rPr>
          <w:color w:val="auto"/>
        </w:rPr>
        <w:t>X</w:t>
      </w:r>
      <w:r>
        <w:rPr>
          <w:color w:val="auto"/>
        </w:rPr>
        <w:t>，加记</w:t>
      </w:r>
      <w:r>
        <w:rPr>
          <w:color w:val="auto"/>
        </w:rPr>
        <w:t xml:space="preserve"> 50 </w:t>
      </w:r>
      <w:r>
        <w:rPr>
          <w:color w:val="auto"/>
        </w:rPr>
        <w:t>分。</w:t>
      </w:r>
    </w:p>
    <w:p w:rsidR="00A41667" w:rsidRDefault="00E268B2">
      <w:pPr>
        <w:pStyle w:val="08"/>
        <w:rPr>
          <w:color w:val="auto"/>
        </w:rPr>
      </w:pPr>
      <w:r>
        <w:rPr>
          <w:color w:val="auto"/>
        </w:rPr>
        <w:t>每场比赛得分计算</w:t>
      </w:r>
    </w:p>
    <w:p w:rsidR="00A41667" w:rsidRDefault="00E268B2">
      <w:pPr>
        <w:pStyle w:val="05"/>
        <w:ind w:firstLine="420"/>
        <w:rPr>
          <w:color w:val="auto"/>
        </w:rPr>
      </w:pPr>
      <w:r>
        <w:rPr>
          <w:color w:val="auto"/>
        </w:rPr>
        <w:t>阶段得分按下式计算：</w:t>
      </w:r>
    </w:p>
    <w:p w:rsidR="00A41667" w:rsidRDefault="00E268B2">
      <w:pPr>
        <w:pStyle w:val="05"/>
        <w:ind w:firstLine="422"/>
        <w:rPr>
          <w:color w:val="auto"/>
        </w:rPr>
      </w:pPr>
      <w:r>
        <w:rPr>
          <w:b/>
          <w:color w:val="auto"/>
        </w:rPr>
        <w:t>自动阶段得分</w:t>
      </w:r>
      <w:r>
        <w:rPr>
          <w:b/>
          <w:color w:val="auto"/>
        </w:rPr>
        <w:t xml:space="preserve"> </w:t>
      </w:r>
      <w:r>
        <w:rPr>
          <w:color w:val="auto"/>
        </w:rPr>
        <w:t xml:space="preserve">= </w:t>
      </w:r>
      <w:r>
        <w:rPr>
          <w:color w:val="auto"/>
        </w:rPr>
        <w:t>分拣得分</w:t>
      </w:r>
      <w:r>
        <w:rPr>
          <w:color w:val="auto"/>
        </w:rPr>
        <w:t>+</w:t>
      </w:r>
      <w:r>
        <w:rPr>
          <w:color w:val="auto"/>
        </w:rPr>
        <w:t>投料得分</w:t>
      </w:r>
      <w:r>
        <w:rPr>
          <w:color w:val="auto"/>
        </w:rPr>
        <w:t>+</w:t>
      </w:r>
      <w:r>
        <w:rPr>
          <w:color w:val="auto"/>
        </w:rPr>
        <w:t>击落球瓶得分</w:t>
      </w:r>
      <w:r>
        <w:rPr>
          <w:color w:val="auto"/>
        </w:rPr>
        <w:t>-</w:t>
      </w:r>
      <w:r>
        <w:rPr>
          <w:color w:val="auto"/>
        </w:rPr>
        <w:t>违规罚分</w:t>
      </w:r>
    </w:p>
    <w:p w:rsidR="00A41667" w:rsidRDefault="00E268B2">
      <w:pPr>
        <w:pStyle w:val="05"/>
        <w:ind w:firstLine="422"/>
        <w:rPr>
          <w:color w:val="auto"/>
        </w:rPr>
      </w:pPr>
      <w:r>
        <w:rPr>
          <w:b/>
          <w:color w:val="auto"/>
        </w:rPr>
        <w:t>手动阶段得分</w:t>
      </w:r>
      <w:r>
        <w:rPr>
          <w:b/>
          <w:color w:val="auto"/>
        </w:rPr>
        <w:t xml:space="preserve"> </w:t>
      </w:r>
      <w:r>
        <w:rPr>
          <w:color w:val="auto"/>
        </w:rPr>
        <w:t xml:space="preserve">= </w:t>
      </w:r>
      <w:r>
        <w:rPr>
          <w:color w:val="auto"/>
        </w:rPr>
        <w:t>投料得分</w:t>
      </w:r>
      <w:r>
        <w:rPr>
          <w:color w:val="auto"/>
        </w:rPr>
        <w:t>+</w:t>
      </w:r>
      <w:r>
        <w:rPr>
          <w:color w:val="auto"/>
        </w:rPr>
        <w:t>击落球瓶得分</w:t>
      </w:r>
      <w:r>
        <w:rPr>
          <w:color w:val="auto"/>
        </w:rPr>
        <w:t>+</w:t>
      </w:r>
      <w:r>
        <w:rPr>
          <w:color w:val="auto"/>
        </w:rPr>
        <w:t>悬挂得分</w:t>
      </w:r>
      <w:r>
        <w:rPr>
          <w:color w:val="auto"/>
        </w:rPr>
        <w:t>+</w:t>
      </w:r>
      <w:r>
        <w:rPr>
          <w:color w:val="auto"/>
        </w:rPr>
        <w:t>堆叠得分</w:t>
      </w:r>
      <w:r>
        <w:rPr>
          <w:color w:val="auto"/>
        </w:rPr>
        <w:t>-</w:t>
      </w:r>
      <w:r>
        <w:rPr>
          <w:color w:val="auto"/>
        </w:rPr>
        <w:t>违规罚分单场比赛总分为</w:t>
      </w:r>
    </w:p>
    <w:p w:rsidR="00A41667" w:rsidRDefault="00E268B2">
      <w:pPr>
        <w:pStyle w:val="05"/>
        <w:ind w:firstLine="422"/>
        <w:rPr>
          <w:color w:val="auto"/>
        </w:rPr>
      </w:pPr>
      <w:r>
        <w:rPr>
          <w:rStyle w:val="06Char"/>
          <w:color w:val="auto"/>
        </w:rPr>
        <w:t>单场比赛总分</w:t>
      </w:r>
      <w:r>
        <w:rPr>
          <w:color w:val="auto"/>
        </w:rPr>
        <w:t xml:space="preserve"> </w:t>
      </w:r>
      <w:r>
        <w:rPr>
          <w:b/>
          <w:color w:val="auto"/>
        </w:rPr>
        <w:t xml:space="preserve">= </w:t>
      </w:r>
      <w:r>
        <w:rPr>
          <w:color w:val="auto"/>
        </w:rPr>
        <w:t>自动阶段得分</w:t>
      </w:r>
      <w:r>
        <w:rPr>
          <w:color w:val="auto"/>
        </w:rPr>
        <w:t xml:space="preserve"> + </w:t>
      </w:r>
      <w:r>
        <w:rPr>
          <w:color w:val="auto"/>
        </w:rPr>
        <w:t>手动阶段得分</w:t>
      </w:r>
    </w:p>
    <w:p w:rsidR="00A41667" w:rsidRDefault="00E268B2">
      <w:pPr>
        <w:pStyle w:val="05"/>
        <w:ind w:firstLine="420"/>
        <w:rPr>
          <w:color w:val="auto"/>
        </w:rPr>
      </w:pPr>
      <w:r>
        <w:rPr>
          <w:color w:val="auto"/>
        </w:rPr>
        <w:t>联队</w:t>
      </w:r>
      <w:r>
        <w:rPr>
          <w:color w:val="auto"/>
        </w:rPr>
        <w:t>的两支参赛队的得分与该联队在该场比赛的总分一致。</w:t>
      </w:r>
    </w:p>
    <w:p w:rsidR="00A41667" w:rsidRDefault="00E268B2">
      <w:pPr>
        <w:pStyle w:val="01"/>
        <w:spacing w:before="158" w:after="158"/>
        <w:rPr>
          <w:color w:val="auto"/>
          <w:sz w:val="29"/>
        </w:rPr>
      </w:pPr>
      <w:bookmarkStart w:id="17" w:name="_Toc66889971"/>
      <w:r>
        <w:rPr>
          <w:rFonts w:eastAsia="Times New Roman"/>
          <w:color w:val="auto"/>
        </w:rPr>
        <w:t>4</w:t>
      </w:r>
      <w:r>
        <w:rPr>
          <w:rFonts w:hint="eastAsia"/>
          <w:color w:val="auto"/>
        </w:rPr>
        <w:t xml:space="preserve"> </w:t>
      </w:r>
      <w:r>
        <w:rPr>
          <w:color w:val="auto"/>
        </w:rPr>
        <w:t>机器人规则</w:t>
      </w:r>
      <w:bookmarkEnd w:id="17"/>
    </w:p>
    <w:p w:rsidR="00A41667" w:rsidRDefault="00E268B2">
      <w:pPr>
        <w:pStyle w:val="05"/>
        <w:ind w:firstLine="420"/>
        <w:rPr>
          <w:color w:val="auto"/>
        </w:rPr>
      </w:pPr>
      <w:r>
        <w:rPr>
          <w:rFonts w:eastAsia="Times New Roman"/>
          <w:color w:val="auto"/>
        </w:rPr>
        <w:t>MakeX</w:t>
      </w:r>
      <w:r>
        <w:rPr>
          <w:color w:val="auto"/>
        </w:rPr>
        <w:t>“</w:t>
      </w:r>
      <w:r>
        <w:rPr>
          <w:color w:val="auto"/>
        </w:rPr>
        <w:t>智能制造</w:t>
      </w:r>
      <w:r>
        <w:rPr>
          <w:color w:val="auto"/>
        </w:rPr>
        <w:t>”</w:t>
      </w:r>
      <w:r>
        <w:rPr>
          <w:color w:val="auto"/>
        </w:rPr>
        <w:t>参赛队设计、制作的机器人应遵守以下规则。参赛队在设计制作机器人前应仔细阅读并熟悉全部规则，不符合本规则的机器人将不得上场比赛。鼓励参赛队在符合规则的前提下，对机器人进行创新设计和制作。</w:t>
      </w:r>
    </w:p>
    <w:p w:rsidR="00A41667" w:rsidRDefault="00E268B2">
      <w:pPr>
        <w:pStyle w:val="02"/>
        <w:rPr>
          <w:color w:val="auto"/>
        </w:rPr>
      </w:pPr>
      <w:bookmarkStart w:id="18" w:name="_Toc66889972"/>
      <w:r>
        <w:rPr>
          <w:rFonts w:eastAsia="Times New Roman"/>
          <w:color w:val="auto"/>
        </w:rPr>
        <w:t>4.1</w:t>
      </w:r>
      <w:r>
        <w:rPr>
          <w:rFonts w:hint="eastAsia"/>
          <w:color w:val="auto"/>
        </w:rPr>
        <w:t xml:space="preserve"> </w:t>
      </w:r>
      <w:r>
        <w:rPr>
          <w:color w:val="auto"/>
        </w:rPr>
        <w:t>一般性规则</w:t>
      </w:r>
      <w:bookmarkEnd w:id="18"/>
    </w:p>
    <w:p w:rsidR="00A41667" w:rsidRDefault="00E268B2">
      <w:pPr>
        <w:pStyle w:val="05"/>
        <w:ind w:firstLine="422"/>
        <w:rPr>
          <w:color w:val="auto"/>
        </w:rPr>
      </w:pPr>
      <w:r>
        <w:rPr>
          <w:rFonts w:eastAsia="Times New Roman"/>
          <w:b/>
          <w:color w:val="auto"/>
        </w:rPr>
        <w:t xml:space="preserve">R01 </w:t>
      </w:r>
      <w:r>
        <w:rPr>
          <w:b/>
          <w:color w:val="auto"/>
        </w:rPr>
        <w:t>参赛机器人的构成</w:t>
      </w:r>
      <w:r>
        <w:rPr>
          <w:color w:val="auto"/>
        </w:rPr>
        <w:t>—</w:t>
      </w:r>
      <w:r>
        <w:rPr>
          <w:color w:val="auto"/>
        </w:rPr>
        <w:t>参加</w:t>
      </w:r>
      <w:r>
        <w:rPr>
          <w:color w:val="auto"/>
        </w:rPr>
        <w:t xml:space="preserve"> </w:t>
      </w:r>
      <w:r>
        <w:rPr>
          <w:rFonts w:eastAsia="Times New Roman"/>
          <w:color w:val="auto"/>
        </w:rPr>
        <w:t xml:space="preserve">MakeX </w:t>
      </w:r>
      <w:r>
        <w:rPr>
          <w:color w:val="auto"/>
        </w:rPr>
        <w:t>比赛的机器人具有如下子系统：</w:t>
      </w:r>
    </w:p>
    <w:p w:rsidR="00A41667" w:rsidRDefault="00E268B2">
      <w:pPr>
        <w:pStyle w:val="05"/>
        <w:ind w:firstLine="420"/>
        <w:rPr>
          <w:color w:val="auto"/>
        </w:rPr>
      </w:pPr>
      <w:r>
        <w:rPr>
          <w:color w:val="auto"/>
        </w:rPr>
        <w:t>子系统</w:t>
      </w:r>
      <w:r>
        <w:rPr>
          <w:color w:val="auto"/>
        </w:rPr>
        <w:t xml:space="preserve"> 1</w:t>
      </w:r>
      <w:r>
        <w:rPr>
          <w:color w:val="auto"/>
        </w:rPr>
        <w:t>：移动式机器人的底盘，包括与地面接触的车轮、履带或其它使机器人在平坦场地表面运动的机构。对于静止不动的机器人或没有运动机构的机器人，其</w:t>
      </w:r>
      <w:r>
        <w:rPr>
          <w:color w:val="auto"/>
        </w:rPr>
        <w:t>与场地直接接触的结构被视为子系统</w:t>
      </w:r>
      <w:r>
        <w:rPr>
          <w:color w:val="auto"/>
        </w:rPr>
        <w:t xml:space="preserve"> 1</w:t>
      </w:r>
      <w:r>
        <w:rPr>
          <w:color w:val="auto"/>
        </w:rPr>
        <w:t>。</w:t>
      </w:r>
    </w:p>
    <w:p w:rsidR="00A41667" w:rsidRDefault="00E268B2">
      <w:pPr>
        <w:pStyle w:val="05"/>
        <w:ind w:firstLine="420"/>
        <w:rPr>
          <w:color w:val="auto"/>
        </w:rPr>
      </w:pPr>
      <w:r>
        <w:rPr>
          <w:color w:val="auto"/>
        </w:rPr>
        <w:t>子系统</w:t>
      </w:r>
      <w:r>
        <w:rPr>
          <w:color w:val="auto"/>
        </w:rPr>
        <w:t xml:space="preserve"> 2</w:t>
      </w:r>
      <w:r>
        <w:rPr>
          <w:color w:val="auto"/>
        </w:rPr>
        <w:t>：动力和控制系统，包括为子系统</w:t>
      </w:r>
      <w:r>
        <w:rPr>
          <w:color w:val="auto"/>
        </w:rPr>
        <w:t xml:space="preserve"> 1 </w:t>
      </w:r>
      <w:r>
        <w:rPr>
          <w:color w:val="auto"/>
        </w:rPr>
        <w:t>提供动力的电机、为动力系统供电的电池及控制器。</w:t>
      </w:r>
    </w:p>
    <w:p w:rsidR="00A41667" w:rsidRDefault="00E268B2">
      <w:pPr>
        <w:pStyle w:val="05"/>
        <w:ind w:firstLine="420"/>
        <w:rPr>
          <w:color w:val="auto"/>
        </w:rPr>
      </w:pPr>
      <w:r>
        <w:rPr>
          <w:color w:val="auto"/>
        </w:rPr>
        <w:t>子系统</w:t>
      </w:r>
      <w:r>
        <w:rPr>
          <w:color w:val="auto"/>
        </w:rPr>
        <w:t xml:space="preserve"> 3</w:t>
      </w:r>
      <w:r>
        <w:rPr>
          <w:color w:val="auto"/>
        </w:rPr>
        <w:t>：其它功能系统，包括机器人的功能性结构，包括但不限于识别外界环境、操作比赛用品、越过场地障碍的结构。</w:t>
      </w:r>
    </w:p>
    <w:p w:rsidR="00A41667" w:rsidRDefault="00E268B2">
      <w:pPr>
        <w:pStyle w:val="05"/>
        <w:ind w:firstLine="420"/>
        <w:rPr>
          <w:color w:val="auto"/>
        </w:rPr>
      </w:pPr>
      <w:r>
        <w:rPr>
          <w:color w:val="auto"/>
        </w:rPr>
        <w:t>在上述定义下，参赛机器人必须有子系统</w:t>
      </w:r>
      <w:r>
        <w:rPr>
          <w:color w:val="auto"/>
        </w:rPr>
        <w:t xml:space="preserve"> 1 </w:t>
      </w:r>
      <w:r>
        <w:rPr>
          <w:color w:val="auto"/>
        </w:rPr>
        <w:t>和</w:t>
      </w:r>
      <w:r>
        <w:rPr>
          <w:color w:val="auto"/>
        </w:rPr>
        <w:t xml:space="preserve"> 2</w:t>
      </w:r>
      <w:r>
        <w:rPr>
          <w:color w:val="auto"/>
        </w:rPr>
        <w:t>。更换子系统</w:t>
      </w:r>
      <w:r>
        <w:rPr>
          <w:color w:val="auto"/>
        </w:rPr>
        <w:t xml:space="preserve"> 1 </w:t>
      </w:r>
      <w:r>
        <w:rPr>
          <w:color w:val="auto"/>
        </w:rPr>
        <w:t>或</w:t>
      </w:r>
      <w:r>
        <w:rPr>
          <w:color w:val="auto"/>
        </w:rPr>
        <w:t xml:space="preserve"> 2</w:t>
      </w:r>
      <w:r>
        <w:rPr>
          <w:color w:val="auto"/>
        </w:rPr>
        <w:t>，就成了另一台机器人。</w:t>
      </w:r>
    </w:p>
    <w:p w:rsidR="00A41667" w:rsidRDefault="00E268B2">
      <w:pPr>
        <w:pStyle w:val="05"/>
        <w:ind w:firstLine="422"/>
        <w:rPr>
          <w:color w:val="auto"/>
        </w:rPr>
      </w:pPr>
      <w:r>
        <w:rPr>
          <w:rFonts w:eastAsia="Times New Roman"/>
          <w:b/>
          <w:color w:val="auto"/>
        </w:rPr>
        <w:t xml:space="preserve">R02 </w:t>
      </w:r>
      <w:r>
        <w:rPr>
          <w:b/>
          <w:color w:val="auto"/>
        </w:rPr>
        <w:t>参赛机器人的数量</w:t>
      </w:r>
      <w:r>
        <w:rPr>
          <w:color w:val="auto"/>
        </w:rPr>
        <w:t>—</w:t>
      </w:r>
      <w:r>
        <w:rPr>
          <w:color w:val="auto"/>
        </w:rPr>
        <w:t>每支参赛队只能使用一台机器人参加比赛。机器人的子系统</w:t>
      </w:r>
      <w:r>
        <w:rPr>
          <w:color w:val="auto"/>
        </w:rPr>
        <w:t xml:space="preserve"> </w:t>
      </w:r>
      <w:r>
        <w:rPr>
          <w:rFonts w:eastAsia="Times New Roman"/>
          <w:color w:val="auto"/>
        </w:rPr>
        <w:t xml:space="preserve">1 </w:t>
      </w:r>
      <w:r>
        <w:rPr>
          <w:color w:val="auto"/>
        </w:rPr>
        <w:t>或</w:t>
      </w:r>
      <w:r>
        <w:rPr>
          <w:color w:val="auto"/>
        </w:rPr>
        <w:t xml:space="preserve"> </w:t>
      </w:r>
      <w:r>
        <w:rPr>
          <w:rFonts w:eastAsia="Times New Roman"/>
          <w:color w:val="auto"/>
        </w:rPr>
        <w:t>2</w:t>
      </w:r>
      <w:r>
        <w:rPr>
          <w:color w:val="auto"/>
        </w:rPr>
        <w:t>不得改装。这样的改装将被视为该队使用了第二台机器人，将受到取消比赛资格的处罚。</w:t>
      </w:r>
    </w:p>
    <w:p w:rsidR="00A41667" w:rsidRDefault="00E268B2">
      <w:pPr>
        <w:pStyle w:val="05"/>
        <w:ind w:firstLine="422"/>
        <w:rPr>
          <w:color w:val="auto"/>
        </w:rPr>
      </w:pPr>
      <w:r>
        <w:rPr>
          <w:rFonts w:eastAsia="Times New Roman"/>
          <w:b/>
          <w:color w:val="auto"/>
        </w:rPr>
        <w:t xml:space="preserve">R03 </w:t>
      </w:r>
      <w:r>
        <w:rPr>
          <w:b/>
          <w:color w:val="auto"/>
        </w:rPr>
        <w:t>正常的维修不属于改装</w:t>
      </w:r>
      <w:r>
        <w:rPr>
          <w:color w:val="auto"/>
        </w:rPr>
        <w:t>—</w:t>
      </w:r>
      <w:r>
        <w:rPr>
          <w:color w:val="auto"/>
        </w:rPr>
        <w:t>因零部件故障（如车轮损坏、电机故障等）导致更换同一零部件，不属于改装。</w:t>
      </w:r>
    </w:p>
    <w:p w:rsidR="00A41667" w:rsidRDefault="00E268B2">
      <w:pPr>
        <w:pStyle w:val="05"/>
        <w:ind w:firstLine="422"/>
        <w:rPr>
          <w:color w:val="auto"/>
        </w:rPr>
      </w:pPr>
      <w:r>
        <w:rPr>
          <w:rFonts w:eastAsia="Times New Roman"/>
          <w:b/>
          <w:color w:val="auto"/>
        </w:rPr>
        <w:t xml:space="preserve">R04 </w:t>
      </w:r>
      <w:r>
        <w:rPr>
          <w:b/>
          <w:color w:val="auto"/>
        </w:rPr>
        <w:t>不得使用多台机器人</w:t>
      </w:r>
      <w:r>
        <w:rPr>
          <w:color w:val="auto"/>
        </w:rPr>
        <w:t>—</w:t>
      </w:r>
      <w:r>
        <w:rPr>
          <w:color w:val="auto"/>
        </w:rPr>
        <w:t>参赛队在比赛中，仅可使用一台机器人。不得在比赛中使用一台机器人，又在场下组装或改装另一台机器人。参赛队不得在一场比赛或同一赛事的不同场次比赛中交替使用多台机器人。</w:t>
      </w:r>
    </w:p>
    <w:p w:rsidR="00A41667" w:rsidRDefault="00E268B2">
      <w:pPr>
        <w:pStyle w:val="05"/>
        <w:ind w:firstLine="422"/>
        <w:rPr>
          <w:color w:val="auto"/>
        </w:rPr>
      </w:pPr>
      <w:r>
        <w:rPr>
          <w:rFonts w:eastAsia="Times New Roman"/>
          <w:b/>
          <w:color w:val="auto"/>
        </w:rPr>
        <w:t xml:space="preserve">R05 </w:t>
      </w:r>
      <w:r>
        <w:rPr>
          <w:b/>
          <w:color w:val="auto"/>
        </w:rPr>
        <w:t>严禁分离出部件的机器人</w:t>
      </w:r>
      <w:r>
        <w:rPr>
          <w:color w:val="auto"/>
        </w:rPr>
        <w:t>—</w:t>
      </w:r>
      <w:r>
        <w:rPr>
          <w:color w:val="auto"/>
        </w:rPr>
        <w:t>机器人不得存在主动分离的结构。比赛全程中，机器人所有子系统、零部件必须需可靠连接。</w:t>
      </w:r>
    </w:p>
    <w:p w:rsidR="00A41667" w:rsidRDefault="00E268B2">
      <w:pPr>
        <w:pStyle w:val="05"/>
        <w:ind w:firstLine="422"/>
        <w:rPr>
          <w:color w:val="auto"/>
        </w:rPr>
      </w:pPr>
      <w:r>
        <w:rPr>
          <w:rFonts w:eastAsia="Times New Roman"/>
          <w:b/>
          <w:color w:val="auto"/>
        </w:rPr>
        <w:t xml:space="preserve">R06 </w:t>
      </w:r>
      <w:r>
        <w:rPr>
          <w:b/>
          <w:color w:val="auto"/>
        </w:rPr>
        <w:t>机器人尺寸的定义及规定</w:t>
      </w:r>
      <w:r>
        <w:rPr>
          <w:color w:val="auto"/>
        </w:rPr>
        <w:t>—</w:t>
      </w:r>
      <w:r>
        <w:rPr>
          <w:color w:val="auto"/>
        </w:rPr>
        <w:t>包容机器人在水平面正投影的最小矩形边长为机器人的长、宽尺寸。</w:t>
      </w:r>
      <w:r>
        <w:rPr>
          <w:color w:val="auto"/>
        </w:rPr>
        <w:lastRenderedPageBreak/>
        <w:t>机器人高度</w:t>
      </w:r>
      <w:r>
        <w:rPr>
          <w:color w:val="auto"/>
        </w:rPr>
        <w:t>是机器人在地面正常运行时其最高点与地面的距离。最大初始尺寸是在比赛的强化改装阶段前对机器人尺寸的限制。最大改装尺寸是在比赛的强化改装阶段后对机器人尺寸的限制。若机器人使用柔性材料（包括但不限于轧带、胶带、泡沫块及参赛队编号等），测量机器人尺寸时，对柔性材料不得施加外力。机器人的最大初始尺寸和最大改装尺寸如下表所示：</w:t>
      </w:r>
    </w:p>
    <w:tbl>
      <w:tblPr>
        <w:tblStyle w:val="a7"/>
        <w:tblW w:w="5000" w:type="pct"/>
        <w:tblLook w:val="04A0" w:firstRow="1" w:lastRow="0" w:firstColumn="1" w:lastColumn="0" w:noHBand="0" w:noVBand="1"/>
      </w:tblPr>
      <w:tblGrid>
        <w:gridCol w:w="1491"/>
        <w:gridCol w:w="1764"/>
        <w:gridCol w:w="6491"/>
      </w:tblGrid>
      <w:tr w:rsidR="00A41667">
        <w:trPr>
          <w:trHeight w:val="454"/>
        </w:trPr>
        <w:tc>
          <w:tcPr>
            <w:tcW w:w="765" w:type="pct"/>
            <w:vAlign w:val="center"/>
          </w:tcPr>
          <w:p w:rsidR="00A41667" w:rsidRDefault="00A41667">
            <w:pPr>
              <w:pStyle w:val="TableParagraph"/>
              <w:jc w:val="center"/>
              <w:rPr>
                <w:rFonts w:ascii="Times New Roman"/>
                <w:sz w:val="21"/>
                <w:szCs w:val="21"/>
              </w:rPr>
            </w:pPr>
          </w:p>
        </w:tc>
        <w:tc>
          <w:tcPr>
            <w:tcW w:w="905" w:type="pct"/>
            <w:vAlign w:val="center"/>
          </w:tcPr>
          <w:p w:rsidR="00A41667" w:rsidRDefault="00E268B2">
            <w:pPr>
              <w:pStyle w:val="TableParagraph"/>
              <w:jc w:val="center"/>
              <w:rPr>
                <w:b/>
                <w:sz w:val="21"/>
                <w:szCs w:val="21"/>
              </w:rPr>
            </w:pPr>
            <w:r>
              <w:rPr>
                <w:b/>
                <w:sz w:val="21"/>
                <w:szCs w:val="21"/>
              </w:rPr>
              <w:t>要</w:t>
            </w:r>
            <w:r>
              <w:rPr>
                <w:b/>
                <w:sz w:val="21"/>
                <w:szCs w:val="21"/>
              </w:rPr>
              <w:t xml:space="preserve"> </w:t>
            </w:r>
            <w:r>
              <w:rPr>
                <w:b/>
                <w:sz w:val="21"/>
                <w:szCs w:val="21"/>
              </w:rPr>
              <w:t>求</w:t>
            </w:r>
          </w:p>
        </w:tc>
        <w:tc>
          <w:tcPr>
            <w:tcW w:w="3330" w:type="pct"/>
            <w:vAlign w:val="center"/>
          </w:tcPr>
          <w:p w:rsidR="00A41667" w:rsidRDefault="00E268B2">
            <w:pPr>
              <w:pStyle w:val="TableParagraph"/>
              <w:jc w:val="center"/>
              <w:rPr>
                <w:b/>
                <w:sz w:val="21"/>
                <w:szCs w:val="21"/>
              </w:rPr>
            </w:pPr>
            <w:r>
              <w:rPr>
                <w:b/>
                <w:sz w:val="21"/>
                <w:szCs w:val="21"/>
              </w:rPr>
              <w:t>说</w:t>
            </w:r>
            <w:r>
              <w:rPr>
                <w:b/>
                <w:sz w:val="21"/>
                <w:szCs w:val="21"/>
              </w:rPr>
              <w:t xml:space="preserve"> </w:t>
            </w:r>
            <w:r>
              <w:rPr>
                <w:b/>
                <w:sz w:val="21"/>
                <w:szCs w:val="21"/>
              </w:rPr>
              <w:t>明</w:t>
            </w:r>
          </w:p>
        </w:tc>
      </w:tr>
      <w:tr w:rsidR="00A41667">
        <w:trPr>
          <w:trHeight w:val="454"/>
        </w:trPr>
        <w:tc>
          <w:tcPr>
            <w:tcW w:w="765" w:type="pct"/>
            <w:vAlign w:val="center"/>
          </w:tcPr>
          <w:p w:rsidR="00A41667" w:rsidRDefault="00E268B2">
            <w:pPr>
              <w:pStyle w:val="TableParagraph"/>
              <w:jc w:val="center"/>
              <w:rPr>
                <w:sz w:val="21"/>
                <w:szCs w:val="21"/>
              </w:rPr>
            </w:pPr>
            <w:r>
              <w:rPr>
                <w:sz w:val="21"/>
                <w:szCs w:val="21"/>
              </w:rPr>
              <w:t>最大初始尺寸</w:t>
            </w:r>
          </w:p>
        </w:tc>
        <w:tc>
          <w:tcPr>
            <w:tcW w:w="905" w:type="pct"/>
            <w:vAlign w:val="center"/>
          </w:tcPr>
          <w:p w:rsidR="00A41667" w:rsidRDefault="00E268B2">
            <w:pPr>
              <w:pStyle w:val="TableParagraph"/>
              <w:jc w:val="center"/>
              <w:rPr>
                <w:sz w:val="21"/>
                <w:szCs w:val="21"/>
              </w:rPr>
            </w:pPr>
            <w:r>
              <w:rPr>
                <w:rFonts w:ascii="Times New Roman" w:eastAsia="Times New Roman"/>
                <w:sz w:val="21"/>
                <w:szCs w:val="21"/>
              </w:rPr>
              <w:t>500 mm</w:t>
            </w:r>
            <w:r>
              <w:rPr>
                <w:sz w:val="21"/>
                <w:szCs w:val="21"/>
              </w:rPr>
              <w:t>（长）</w:t>
            </w:r>
          </w:p>
          <w:p w:rsidR="00A41667" w:rsidRDefault="00E268B2">
            <w:pPr>
              <w:pStyle w:val="TableParagraph"/>
              <w:jc w:val="center"/>
              <w:rPr>
                <w:sz w:val="21"/>
                <w:szCs w:val="21"/>
              </w:rPr>
            </w:pPr>
            <w:r>
              <w:rPr>
                <w:rFonts w:ascii="Times New Roman" w:eastAsia="Times New Roman"/>
                <w:sz w:val="21"/>
                <w:szCs w:val="21"/>
              </w:rPr>
              <w:t>500 mm</w:t>
            </w:r>
            <w:r>
              <w:rPr>
                <w:sz w:val="21"/>
                <w:szCs w:val="21"/>
              </w:rPr>
              <w:t>（宽）</w:t>
            </w:r>
          </w:p>
          <w:p w:rsidR="00A41667" w:rsidRDefault="00E268B2">
            <w:pPr>
              <w:pStyle w:val="TableParagraph"/>
              <w:jc w:val="center"/>
              <w:rPr>
                <w:sz w:val="21"/>
                <w:szCs w:val="21"/>
              </w:rPr>
            </w:pPr>
            <w:r>
              <w:rPr>
                <w:rFonts w:ascii="Times New Roman" w:eastAsia="Times New Roman"/>
                <w:sz w:val="21"/>
                <w:szCs w:val="21"/>
              </w:rPr>
              <w:t>500 mm</w:t>
            </w:r>
            <w:r>
              <w:rPr>
                <w:sz w:val="21"/>
                <w:szCs w:val="21"/>
              </w:rPr>
              <w:t>（高）</w:t>
            </w:r>
          </w:p>
        </w:tc>
        <w:tc>
          <w:tcPr>
            <w:tcW w:w="3330" w:type="pct"/>
            <w:vAlign w:val="center"/>
          </w:tcPr>
          <w:p w:rsidR="00A41667" w:rsidRDefault="00E268B2">
            <w:pPr>
              <w:pStyle w:val="TableParagraph"/>
              <w:tabs>
                <w:tab w:val="left" w:pos="204"/>
              </w:tabs>
              <w:jc w:val="both"/>
              <w:rPr>
                <w:sz w:val="21"/>
                <w:szCs w:val="21"/>
              </w:rPr>
            </w:pPr>
            <w:r>
              <w:rPr>
                <w:rFonts w:ascii="Times New Roman" w:eastAsia="Times New Roman" w:hAnsi="Times New Roman" w:cs="Times New Roman"/>
                <w:sz w:val="21"/>
                <w:szCs w:val="21"/>
              </w:rPr>
              <w:t>1.</w:t>
            </w:r>
            <w:r>
              <w:rPr>
                <w:sz w:val="21"/>
                <w:szCs w:val="21"/>
              </w:rPr>
              <w:t>高度不得超过</w:t>
            </w:r>
            <w:r>
              <w:rPr>
                <w:sz w:val="21"/>
                <w:szCs w:val="21"/>
              </w:rPr>
              <w:t xml:space="preserve"> </w:t>
            </w:r>
            <w:r>
              <w:rPr>
                <w:rFonts w:ascii="Times New Roman" w:eastAsia="Times New Roman" w:hAnsi="Times New Roman"/>
                <w:sz w:val="21"/>
                <w:szCs w:val="21"/>
              </w:rPr>
              <w:t>500mm</w:t>
            </w:r>
            <w:r>
              <w:rPr>
                <w:sz w:val="21"/>
                <w:szCs w:val="21"/>
              </w:rPr>
              <w:t>，在地面</w:t>
            </w:r>
            <w:r>
              <w:rPr>
                <w:sz w:val="21"/>
                <w:szCs w:val="21"/>
              </w:rPr>
              <w:t xml:space="preserve"> </w:t>
            </w:r>
            <w:r>
              <w:rPr>
                <w:sz w:val="21"/>
                <w:szCs w:val="21"/>
              </w:rPr>
              <w:t>的</w:t>
            </w:r>
            <w:r>
              <w:rPr>
                <w:sz w:val="21"/>
                <w:szCs w:val="21"/>
              </w:rPr>
              <w:t xml:space="preserve"> </w:t>
            </w:r>
            <w:r>
              <w:rPr>
                <w:sz w:val="21"/>
                <w:szCs w:val="21"/>
              </w:rPr>
              <w:t>正</w:t>
            </w:r>
            <w:r>
              <w:rPr>
                <w:sz w:val="21"/>
                <w:szCs w:val="21"/>
              </w:rPr>
              <w:t xml:space="preserve"> </w:t>
            </w:r>
            <w:r>
              <w:rPr>
                <w:sz w:val="21"/>
                <w:szCs w:val="21"/>
              </w:rPr>
              <w:t>投</w:t>
            </w:r>
            <w:r>
              <w:rPr>
                <w:sz w:val="21"/>
                <w:szCs w:val="21"/>
              </w:rPr>
              <w:t xml:space="preserve"> </w:t>
            </w:r>
            <w:r>
              <w:rPr>
                <w:sz w:val="21"/>
                <w:szCs w:val="21"/>
              </w:rPr>
              <w:t>影</w:t>
            </w:r>
            <w:r>
              <w:rPr>
                <w:sz w:val="21"/>
                <w:szCs w:val="21"/>
              </w:rPr>
              <w:t xml:space="preserve"> </w:t>
            </w:r>
            <w:r>
              <w:rPr>
                <w:sz w:val="21"/>
                <w:szCs w:val="21"/>
              </w:rPr>
              <w:t>不</w:t>
            </w:r>
            <w:r>
              <w:rPr>
                <w:sz w:val="21"/>
                <w:szCs w:val="21"/>
              </w:rPr>
              <w:t xml:space="preserve"> </w:t>
            </w:r>
            <w:r>
              <w:rPr>
                <w:sz w:val="21"/>
                <w:szCs w:val="21"/>
              </w:rPr>
              <w:t>得</w:t>
            </w:r>
            <w:r>
              <w:rPr>
                <w:sz w:val="21"/>
                <w:szCs w:val="21"/>
              </w:rPr>
              <w:t xml:space="preserve"> </w:t>
            </w:r>
            <w:r>
              <w:rPr>
                <w:sz w:val="21"/>
                <w:szCs w:val="21"/>
              </w:rPr>
              <w:t>超</w:t>
            </w:r>
            <w:r>
              <w:rPr>
                <w:sz w:val="21"/>
                <w:szCs w:val="21"/>
              </w:rPr>
              <w:t xml:space="preserve"> </w:t>
            </w:r>
            <w:r>
              <w:rPr>
                <w:sz w:val="21"/>
                <w:szCs w:val="21"/>
              </w:rPr>
              <w:t>出</w:t>
            </w:r>
            <w:r>
              <w:rPr>
                <w:sz w:val="21"/>
                <w:szCs w:val="21"/>
              </w:rPr>
              <w:t xml:space="preserve"> </w:t>
            </w:r>
            <w:r>
              <w:rPr>
                <w:rFonts w:ascii="Times New Roman" w:eastAsia="Times New Roman" w:hAnsi="Times New Roman"/>
                <w:sz w:val="21"/>
                <w:szCs w:val="21"/>
              </w:rPr>
              <w:t xml:space="preserve">500×500mm </w:t>
            </w:r>
            <w:r>
              <w:rPr>
                <w:sz w:val="21"/>
                <w:szCs w:val="21"/>
              </w:rPr>
              <w:t>的方形区域。</w:t>
            </w:r>
          </w:p>
          <w:p w:rsidR="00A41667" w:rsidRDefault="00E268B2">
            <w:pPr>
              <w:pStyle w:val="TableParagraph"/>
              <w:tabs>
                <w:tab w:val="left" w:pos="197"/>
              </w:tabs>
              <w:jc w:val="both"/>
              <w:rPr>
                <w:sz w:val="21"/>
                <w:szCs w:val="21"/>
              </w:rPr>
            </w:pPr>
            <w:r>
              <w:rPr>
                <w:rFonts w:ascii="Times New Roman" w:eastAsia="Times New Roman" w:hAnsi="Times New Roman" w:cs="Times New Roman"/>
                <w:sz w:val="21"/>
                <w:szCs w:val="21"/>
              </w:rPr>
              <w:t>2.</w:t>
            </w:r>
            <w:r>
              <w:rPr>
                <w:sz w:val="21"/>
                <w:szCs w:val="21"/>
              </w:rPr>
              <w:t>比赛的强化改装阶段开始前，在任何时刻机器人尺寸不得超过最大初始尺寸。</w:t>
            </w:r>
          </w:p>
        </w:tc>
      </w:tr>
      <w:tr w:rsidR="00A41667">
        <w:trPr>
          <w:trHeight w:val="454"/>
        </w:trPr>
        <w:tc>
          <w:tcPr>
            <w:tcW w:w="765" w:type="pct"/>
            <w:vAlign w:val="center"/>
          </w:tcPr>
          <w:p w:rsidR="00A41667" w:rsidRDefault="00E268B2">
            <w:pPr>
              <w:pStyle w:val="TableParagraph"/>
              <w:jc w:val="center"/>
              <w:rPr>
                <w:sz w:val="21"/>
                <w:szCs w:val="21"/>
              </w:rPr>
            </w:pPr>
            <w:r>
              <w:rPr>
                <w:sz w:val="21"/>
                <w:szCs w:val="21"/>
              </w:rPr>
              <w:t>最大改装尺寸</w:t>
            </w:r>
          </w:p>
        </w:tc>
        <w:tc>
          <w:tcPr>
            <w:tcW w:w="905" w:type="pct"/>
            <w:vAlign w:val="center"/>
          </w:tcPr>
          <w:p w:rsidR="00A41667" w:rsidRDefault="00E268B2">
            <w:pPr>
              <w:pStyle w:val="TableParagraph"/>
              <w:jc w:val="center"/>
              <w:rPr>
                <w:sz w:val="21"/>
                <w:szCs w:val="21"/>
              </w:rPr>
            </w:pPr>
            <w:r>
              <w:rPr>
                <w:rFonts w:ascii="Times New Roman" w:eastAsia="Times New Roman"/>
                <w:sz w:val="21"/>
                <w:szCs w:val="21"/>
              </w:rPr>
              <w:t>500 mm</w:t>
            </w:r>
            <w:r>
              <w:rPr>
                <w:sz w:val="21"/>
                <w:szCs w:val="21"/>
              </w:rPr>
              <w:t>（长）</w:t>
            </w:r>
          </w:p>
          <w:p w:rsidR="00A41667" w:rsidRDefault="00E268B2">
            <w:pPr>
              <w:pStyle w:val="TableParagraph"/>
              <w:jc w:val="center"/>
              <w:rPr>
                <w:sz w:val="21"/>
                <w:szCs w:val="21"/>
              </w:rPr>
            </w:pPr>
            <w:r>
              <w:rPr>
                <w:rFonts w:ascii="Times New Roman" w:eastAsia="Times New Roman"/>
                <w:sz w:val="21"/>
                <w:szCs w:val="21"/>
              </w:rPr>
              <w:t>500mm</w:t>
            </w:r>
            <w:r>
              <w:rPr>
                <w:sz w:val="21"/>
                <w:szCs w:val="21"/>
              </w:rPr>
              <w:t>（宽）</w:t>
            </w:r>
          </w:p>
          <w:p w:rsidR="00A41667" w:rsidRDefault="00E268B2">
            <w:pPr>
              <w:pStyle w:val="TableParagraph"/>
              <w:jc w:val="center"/>
              <w:rPr>
                <w:sz w:val="21"/>
                <w:szCs w:val="21"/>
              </w:rPr>
            </w:pPr>
            <w:r>
              <w:rPr>
                <w:sz w:val="21"/>
                <w:szCs w:val="21"/>
              </w:rPr>
              <w:t>不限（高）</w:t>
            </w:r>
          </w:p>
        </w:tc>
        <w:tc>
          <w:tcPr>
            <w:tcW w:w="3330" w:type="pct"/>
            <w:vAlign w:val="center"/>
          </w:tcPr>
          <w:p w:rsidR="00A41667" w:rsidRDefault="00E268B2">
            <w:pPr>
              <w:pStyle w:val="TableParagraph"/>
              <w:tabs>
                <w:tab w:val="left" w:pos="245"/>
              </w:tabs>
              <w:jc w:val="both"/>
              <w:rPr>
                <w:sz w:val="21"/>
                <w:szCs w:val="21"/>
              </w:rPr>
            </w:pPr>
            <w:r>
              <w:rPr>
                <w:sz w:val="21"/>
                <w:szCs w:val="21"/>
              </w:rPr>
              <w:t>1.</w:t>
            </w:r>
            <w:r>
              <w:rPr>
                <w:sz w:val="21"/>
                <w:szCs w:val="21"/>
              </w:rPr>
              <w:t>高度不受限制，在地面的正投影不得超出</w:t>
            </w:r>
            <w:r>
              <w:rPr>
                <w:sz w:val="21"/>
                <w:szCs w:val="21"/>
              </w:rPr>
              <w:t xml:space="preserve"> </w:t>
            </w:r>
            <w:r>
              <w:rPr>
                <w:rFonts w:ascii="Times New Roman" w:eastAsia="Times New Roman" w:hAnsi="Times New Roman"/>
                <w:sz w:val="21"/>
                <w:szCs w:val="21"/>
              </w:rPr>
              <w:t xml:space="preserve">500×500mm </w:t>
            </w:r>
            <w:r>
              <w:rPr>
                <w:sz w:val="21"/>
                <w:szCs w:val="21"/>
              </w:rPr>
              <w:t>的方形区域。</w:t>
            </w:r>
          </w:p>
          <w:p w:rsidR="00A41667" w:rsidRDefault="00E268B2">
            <w:pPr>
              <w:pStyle w:val="TableParagraph"/>
              <w:tabs>
                <w:tab w:val="left" w:pos="237"/>
              </w:tabs>
              <w:jc w:val="both"/>
              <w:rPr>
                <w:sz w:val="21"/>
                <w:szCs w:val="21"/>
              </w:rPr>
            </w:pPr>
            <w:r>
              <w:rPr>
                <w:sz w:val="21"/>
                <w:szCs w:val="21"/>
              </w:rPr>
              <w:t>2.</w:t>
            </w:r>
            <w:r>
              <w:rPr>
                <w:sz w:val="21"/>
                <w:szCs w:val="21"/>
              </w:rPr>
              <w:t>强化改装后，在任何时刻机器人尺寸不得超过最大改装尺寸。</w:t>
            </w:r>
          </w:p>
        </w:tc>
      </w:tr>
    </w:tbl>
    <w:p w:rsidR="00A41667" w:rsidRDefault="00E268B2">
      <w:pPr>
        <w:pStyle w:val="05"/>
        <w:ind w:firstLine="422"/>
        <w:rPr>
          <w:color w:val="auto"/>
        </w:rPr>
      </w:pPr>
      <w:r>
        <w:rPr>
          <w:rFonts w:eastAsia="Times New Roman"/>
          <w:b/>
          <w:color w:val="auto"/>
        </w:rPr>
        <w:t xml:space="preserve">R07 </w:t>
      </w:r>
      <w:r>
        <w:rPr>
          <w:b/>
          <w:color w:val="auto"/>
        </w:rPr>
        <w:t>机器人的质量</w:t>
      </w:r>
      <w:r>
        <w:rPr>
          <w:color w:val="auto"/>
        </w:rPr>
        <w:t>—</w:t>
      </w:r>
      <w:r>
        <w:rPr>
          <w:color w:val="auto"/>
        </w:rPr>
        <w:t>机器人质量是比赛过程中任意时刻机器人（包含电池和遥控器）的净质量，不包括比赛用品、得分物品、结构完全相同的备件及备用电池。参赛机器人的质量不得大于</w:t>
      </w:r>
      <w:r>
        <w:rPr>
          <w:color w:val="auto"/>
        </w:rPr>
        <w:t xml:space="preserve"> </w:t>
      </w:r>
      <w:r>
        <w:rPr>
          <w:rFonts w:eastAsia="Times New Roman"/>
          <w:color w:val="auto"/>
        </w:rPr>
        <w:t>8kg</w:t>
      </w:r>
      <w:r>
        <w:rPr>
          <w:color w:val="auto"/>
        </w:rPr>
        <w:t>。</w:t>
      </w:r>
    </w:p>
    <w:p w:rsidR="00A41667" w:rsidRDefault="00E268B2">
      <w:pPr>
        <w:pStyle w:val="02"/>
        <w:rPr>
          <w:color w:val="auto"/>
        </w:rPr>
      </w:pPr>
      <w:bookmarkStart w:id="19" w:name="_Toc66889973"/>
      <w:r>
        <w:rPr>
          <w:rFonts w:eastAsia="Times New Roman"/>
          <w:color w:val="auto"/>
        </w:rPr>
        <w:t>4.2</w:t>
      </w:r>
      <w:r>
        <w:rPr>
          <w:rFonts w:hint="eastAsia"/>
          <w:color w:val="auto"/>
        </w:rPr>
        <w:t xml:space="preserve"> </w:t>
      </w:r>
      <w:r>
        <w:rPr>
          <w:color w:val="auto"/>
        </w:rPr>
        <w:t>对电子、电气部件的规定</w:t>
      </w:r>
      <w:bookmarkEnd w:id="19"/>
    </w:p>
    <w:p w:rsidR="00A41667" w:rsidRDefault="00E268B2">
      <w:pPr>
        <w:pStyle w:val="05"/>
        <w:ind w:firstLine="422"/>
        <w:rPr>
          <w:color w:val="auto"/>
        </w:rPr>
      </w:pPr>
      <w:r>
        <w:rPr>
          <w:rFonts w:eastAsia="Times New Roman"/>
          <w:b/>
          <w:color w:val="auto"/>
        </w:rPr>
        <w:t xml:space="preserve">R08 </w:t>
      </w:r>
      <w:r>
        <w:rPr>
          <w:b/>
          <w:color w:val="auto"/>
        </w:rPr>
        <w:t>使用合格的电池</w:t>
      </w:r>
      <w:r>
        <w:rPr>
          <w:color w:val="auto"/>
        </w:rPr>
        <w:t>—</w:t>
      </w:r>
      <w:r>
        <w:rPr>
          <w:color w:val="auto"/>
        </w:rPr>
        <w:t>参赛队只能使用</w:t>
      </w:r>
      <w:r>
        <w:rPr>
          <w:color w:val="auto"/>
        </w:rPr>
        <w:t xml:space="preserve"> </w:t>
      </w:r>
      <w:r>
        <w:rPr>
          <w:rFonts w:eastAsia="Times New Roman"/>
          <w:color w:val="auto"/>
        </w:rPr>
        <w:t xml:space="preserve">3S </w:t>
      </w:r>
      <w:r>
        <w:rPr>
          <w:color w:val="auto"/>
        </w:rPr>
        <w:t>航模电池，输出电压</w:t>
      </w:r>
      <w:r>
        <w:rPr>
          <w:color w:val="auto"/>
        </w:rPr>
        <w:t xml:space="preserve"> </w:t>
      </w:r>
      <w:r>
        <w:rPr>
          <w:rFonts w:eastAsia="Times New Roman"/>
          <w:color w:val="auto"/>
        </w:rPr>
        <w:t>11.1~11.2V</w:t>
      </w:r>
      <w:r>
        <w:rPr>
          <w:color w:val="auto"/>
        </w:rPr>
        <w:t>，放电倍率</w:t>
      </w:r>
      <w:r>
        <w:rPr>
          <w:rFonts w:eastAsia="Times New Roman"/>
          <w:color w:val="auto"/>
        </w:rPr>
        <w:t>25~30C</w:t>
      </w:r>
      <w:r>
        <w:rPr>
          <w:color w:val="auto"/>
        </w:rPr>
        <w:t>。每台机器人的供电系统只能使用一块电池（激光瞄准器的电池除外）。各参赛队应自备备用电池。在比赛现场应使用合格的充电器在规定区域采用正确的方式进行充放电。</w:t>
      </w:r>
    </w:p>
    <w:p w:rsidR="00A41667" w:rsidRDefault="00E268B2">
      <w:pPr>
        <w:pStyle w:val="05"/>
        <w:ind w:firstLine="422"/>
        <w:rPr>
          <w:color w:val="auto"/>
        </w:rPr>
      </w:pPr>
      <w:r>
        <w:rPr>
          <w:rFonts w:eastAsia="Times New Roman"/>
          <w:b/>
          <w:color w:val="auto"/>
        </w:rPr>
        <w:t xml:space="preserve">R09 </w:t>
      </w:r>
      <w:r>
        <w:rPr>
          <w:b/>
          <w:color w:val="auto"/>
        </w:rPr>
        <w:t>电池的安装应得当</w:t>
      </w:r>
      <w:r>
        <w:rPr>
          <w:color w:val="auto"/>
        </w:rPr>
        <w:t>—</w:t>
      </w:r>
      <w:r>
        <w:rPr>
          <w:color w:val="auto"/>
        </w:rPr>
        <w:t>机器人运动过程中电池不得与任何结构（机器人自身或比赛场地）</w:t>
      </w:r>
      <w:r>
        <w:rPr>
          <w:color w:val="auto"/>
        </w:rPr>
        <w:t xml:space="preserve"> </w:t>
      </w:r>
      <w:r>
        <w:rPr>
          <w:color w:val="auto"/>
        </w:rPr>
        <w:t>发生碰撞。机器人倾倒或移动时电池不会脱离机器人本体，电池安装不应导致机器人重心偏移而倾倒。电池导线需保持完整无损，不得露出金属导线。供电线路与机器人结构需保证电气隔离，不得</w:t>
      </w:r>
      <w:r>
        <w:rPr>
          <w:color w:val="auto"/>
        </w:rPr>
        <w:t>使用机器人结构作为导电体。</w:t>
      </w:r>
    </w:p>
    <w:p w:rsidR="00A41667" w:rsidRDefault="00E268B2">
      <w:pPr>
        <w:pStyle w:val="05"/>
        <w:ind w:firstLine="422"/>
        <w:rPr>
          <w:color w:val="auto"/>
        </w:rPr>
      </w:pPr>
      <w:r>
        <w:rPr>
          <w:rFonts w:eastAsia="Times New Roman"/>
          <w:b/>
          <w:color w:val="auto"/>
        </w:rPr>
        <w:t xml:space="preserve">R10 </w:t>
      </w:r>
      <w:r>
        <w:rPr>
          <w:b/>
          <w:color w:val="auto"/>
        </w:rPr>
        <w:t>安全使用电池</w:t>
      </w:r>
      <w:r>
        <w:rPr>
          <w:color w:val="auto"/>
        </w:rPr>
        <w:t>—</w:t>
      </w:r>
      <w:r>
        <w:rPr>
          <w:color w:val="auto"/>
        </w:rPr>
        <w:t>在准备与比赛过程中，参赛队应注意使用电池的安全。电池不得放置于潮湿、高温环境中，不得过充、过放，详见附录三中电池安全使用指南。</w:t>
      </w:r>
    </w:p>
    <w:p w:rsidR="00A41667" w:rsidRDefault="00E268B2">
      <w:pPr>
        <w:pStyle w:val="05"/>
        <w:ind w:firstLine="422"/>
        <w:rPr>
          <w:color w:val="auto"/>
        </w:rPr>
      </w:pPr>
      <w:r>
        <w:rPr>
          <w:rFonts w:eastAsia="Times New Roman"/>
          <w:b/>
          <w:color w:val="auto"/>
        </w:rPr>
        <w:t xml:space="preserve">R11 </w:t>
      </w:r>
      <w:r>
        <w:rPr>
          <w:b/>
          <w:color w:val="auto"/>
        </w:rPr>
        <w:t>使用指定的控制器</w:t>
      </w:r>
      <w:r>
        <w:rPr>
          <w:color w:val="auto"/>
        </w:rPr>
        <w:t>—</w:t>
      </w:r>
      <w:r>
        <w:rPr>
          <w:color w:val="auto"/>
        </w:rPr>
        <w:t>机器人应使用指定的中央控制器及动力扩展板（</w:t>
      </w:r>
      <w:r>
        <w:rPr>
          <w:rFonts w:eastAsia="Times New Roman"/>
          <w:color w:val="auto"/>
        </w:rPr>
        <w:t xml:space="preserve">NovaPi </w:t>
      </w:r>
      <w:r>
        <w:rPr>
          <w:color w:val="auto"/>
        </w:rPr>
        <w:t>系列，主处理器为</w:t>
      </w:r>
      <w:r>
        <w:rPr>
          <w:color w:val="auto"/>
        </w:rPr>
        <w:t xml:space="preserve"> </w:t>
      </w:r>
      <w:r>
        <w:rPr>
          <w:rFonts w:eastAsia="Times New Roman"/>
          <w:color w:val="auto"/>
        </w:rPr>
        <w:t>ATSAMS70N20A-AN</w:t>
      </w:r>
      <w:r>
        <w:rPr>
          <w:color w:val="auto"/>
        </w:rPr>
        <w:t>，数量限</w:t>
      </w:r>
      <w:r>
        <w:rPr>
          <w:color w:val="auto"/>
        </w:rPr>
        <w:t xml:space="preserve"> </w:t>
      </w:r>
      <w:r>
        <w:rPr>
          <w:rFonts w:eastAsia="Times New Roman"/>
          <w:color w:val="auto"/>
        </w:rPr>
        <w:t xml:space="preserve">1 </w:t>
      </w:r>
      <w:r>
        <w:rPr>
          <w:color w:val="auto"/>
        </w:rPr>
        <w:t>套），以确保比赛公平性。参赛队需优化控制器与各模块间的布线。用标签对每根连接线进行标注可有效提升后续检测与维修效率，同时利于赛前检查。</w:t>
      </w:r>
    </w:p>
    <w:p w:rsidR="00A41667" w:rsidRDefault="00E268B2">
      <w:pPr>
        <w:pStyle w:val="05"/>
        <w:ind w:firstLine="422"/>
        <w:rPr>
          <w:color w:val="auto"/>
        </w:rPr>
      </w:pPr>
      <w:r>
        <w:rPr>
          <w:rFonts w:eastAsia="Times New Roman"/>
          <w:b/>
          <w:color w:val="auto"/>
        </w:rPr>
        <w:t xml:space="preserve">R12 </w:t>
      </w:r>
      <w:r>
        <w:rPr>
          <w:b/>
          <w:color w:val="auto"/>
        </w:rPr>
        <w:t>允许使用的传感器</w:t>
      </w:r>
      <w:r>
        <w:rPr>
          <w:color w:val="auto"/>
        </w:rPr>
        <w:t>—</w:t>
      </w:r>
      <w:r>
        <w:rPr>
          <w:color w:val="auto"/>
        </w:rPr>
        <w:t>机器人应使用指定的</w:t>
      </w:r>
      <w:r>
        <w:rPr>
          <w:color w:val="auto"/>
        </w:rPr>
        <w:t xml:space="preserve"> </w:t>
      </w:r>
      <w:r>
        <w:rPr>
          <w:rFonts w:eastAsia="Times New Roman"/>
          <w:color w:val="auto"/>
        </w:rPr>
        <w:t xml:space="preserve">mBuild </w:t>
      </w:r>
      <w:r>
        <w:rPr>
          <w:color w:val="auto"/>
        </w:rPr>
        <w:t>传感器（数量不限）。参赛队不得使用其它传感器破坏比赛公平性。</w:t>
      </w:r>
    </w:p>
    <w:p w:rsidR="00A41667" w:rsidRDefault="00E268B2">
      <w:pPr>
        <w:pStyle w:val="05"/>
        <w:ind w:firstLine="422"/>
        <w:rPr>
          <w:color w:val="auto"/>
        </w:rPr>
      </w:pPr>
      <w:r>
        <w:rPr>
          <w:rFonts w:eastAsia="Times New Roman"/>
          <w:b/>
          <w:color w:val="auto"/>
        </w:rPr>
        <w:t xml:space="preserve">R13 </w:t>
      </w:r>
      <w:r>
        <w:rPr>
          <w:b/>
          <w:color w:val="auto"/>
        </w:rPr>
        <w:t>可用的遥控器</w:t>
      </w:r>
      <w:r>
        <w:rPr>
          <w:color w:val="auto"/>
        </w:rPr>
        <w:t>—</w:t>
      </w:r>
      <w:r>
        <w:rPr>
          <w:color w:val="auto"/>
        </w:rPr>
        <w:t>机器人应使用指定的蓝牙遥控器（型号</w:t>
      </w:r>
      <w:r>
        <w:rPr>
          <w:color w:val="auto"/>
        </w:rPr>
        <w:t xml:space="preserve"> </w:t>
      </w:r>
      <w:r>
        <w:rPr>
          <w:rFonts w:eastAsia="Times New Roman"/>
          <w:color w:val="auto"/>
        </w:rPr>
        <w:t>MBBTCTR01</w:t>
      </w:r>
      <w:r>
        <w:rPr>
          <w:color w:val="auto"/>
        </w:rPr>
        <w:t>），仅限</w:t>
      </w:r>
      <w:r>
        <w:rPr>
          <w:color w:val="auto"/>
        </w:rPr>
        <w:t xml:space="preserve"> </w:t>
      </w:r>
      <w:r>
        <w:rPr>
          <w:rFonts w:eastAsia="Times New Roman"/>
          <w:color w:val="auto"/>
        </w:rPr>
        <w:t xml:space="preserve">1 </w:t>
      </w:r>
      <w:r>
        <w:rPr>
          <w:color w:val="auto"/>
        </w:rPr>
        <w:t>个，</w:t>
      </w:r>
      <w:r>
        <w:rPr>
          <w:color w:val="auto"/>
        </w:rPr>
        <w:t xml:space="preserve"> </w:t>
      </w:r>
      <w:r>
        <w:rPr>
          <w:color w:val="auto"/>
        </w:rPr>
        <w:t>以确保比赛公平性。</w:t>
      </w:r>
    </w:p>
    <w:p w:rsidR="00A41667" w:rsidRDefault="00E268B2">
      <w:pPr>
        <w:pStyle w:val="05"/>
        <w:ind w:firstLine="422"/>
        <w:rPr>
          <w:color w:val="auto"/>
        </w:rPr>
      </w:pPr>
      <w:r>
        <w:rPr>
          <w:rFonts w:eastAsia="Times New Roman"/>
          <w:b/>
          <w:color w:val="auto"/>
        </w:rPr>
        <w:t xml:space="preserve">R14 </w:t>
      </w:r>
      <w:r>
        <w:rPr>
          <w:b/>
          <w:color w:val="auto"/>
        </w:rPr>
        <w:t>使用指定的电机</w:t>
      </w:r>
      <w:r>
        <w:rPr>
          <w:color w:val="auto"/>
        </w:rPr>
        <w:t>—</w:t>
      </w:r>
      <w:r>
        <w:rPr>
          <w:color w:val="auto"/>
        </w:rPr>
        <w:t>对于机器人底盘、机械臂等部件中使用的所有电机或智能舵机的型号和数量是有限制的。直流电机指定为</w:t>
      </w:r>
      <w:r>
        <w:rPr>
          <w:color w:val="auto"/>
        </w:rPr>
        <w:t xml:space="preserve"> </w:t>
      </w:r>
      <w:r>
        <w:rPr>
          <w:rFonts w:eastAsia="Times New Roman"/>
          <w:color w:val="auto"/>
        </w:rPr>
        <w:t xml:space="preserve">37 </w:t>
      </w:r>
      <w:r>
        <w:rPr>
          <w:color w:val="auto"/>
        </w:rPr>
        <w:t>直流电机，额定电压</w:t>
      </w:r>
      <w:r>
        <w:rPr>
          <w:color w:val="auto"/>
        </w:rPr>
        <w:t xml:space="preserve"> </w:t>
      </w:r>
      <w:r>
        <w:rPr>
          <w:rFonts w:eastAsia="Times New Roman"/>
          <w:color w:val="auto"/>
        </w:rPr>
        <w:t>12V</w:t>
      </w:r>
      <w:r>
        <w:rPr>
          <w:color w:val="auto"/>
        </w:rPr>
        <w:t>，</w:t>
      </w:r>
      <w:r>
        <w:rPr>
          <w:rFonts w:eastAsia="Times New Roman"/>
          <w:color w:val="auto"/>
        </w:rPr>
        <w:t xml:space="preserve">50rpm </w:t>
      </w:r>
      <w:r>
        <w:rPr>
          <w:color w:val="auto"/>
        </w:rPr>
        <w:t>或</w:t>
      </w:r>
      <w:r>
        <w:rPr>
          <w:color w:val="auto"/>
        </w:rPr>
        <w:t xml:space="preserve"> </w:t>
      </w:r>
      <w:r>
        <w:rPr>
          <w:rFonts w:eastAsia="Times New Roman"/>
          <w:color w:val="auto"/>
        </w:rPr>
        <w:t>200rpm</w:t>
      </w:r>
      <w:r>
        <w:rPr>
          <w:color w:val="auto"/>
        </w:rPr>
        <w:t>。编码电机必须为</w:t>
      </w:r>
      <w:r>
        <w:rPr>
          <w:color w:val="auto"/>
        </w:rPr>
        <w:t xml:space="preserve"> </w:t>
      </w:r>
      <w:r>
        <w:rPr>
          <w:rFonts w:eastAsia="Times New Roman"/>
          <w:color w:val="auto"/>
        </w:rPr>
        <w:t xml:space="preserve">180 </w:t>
      </w:r>
      <w:r>
        <w:rPr>
          <w:color w:val="auto"/>
        </w:rPr>
        <w:t>智能编码电机，额定电压</w:t>
      </w:r>
      <w:r>
        <w:rPr>
          <w:color w:val="auto"/>
        </w:rPr>
        <w:t xml:space="preserve"> </w:t>
      </w:r>
      <w:r>
        <w:rPr>
          <w:rFonts w:eastAsia="Times New Roman"/>
          <w:color w:val="auto"/>
        </w:rPr>
        <w:t>12V</w:t>
      </w:r>
      <w:r>
        <w:rPr>
          <w:color w:val="auto"/>
        </w:rPr>
        <w:t>，齿轮减速比为</w:t>
      </w:r>
      <w:r>
        <w:rPr>
          <w:color w:val="auto"/>
        </w:rPr>
        <w:t xml:space="preserve"> </w:t>
      </w:r>
      <w:r>
        <w:rPr>
          <w:rFonts w:eastAsia="Times New Roman"/>
          <w:color w:val="auto"/>
        </w:rPr>
        <w:t>39:43</w:t>
      </w:r>
      <w:r>
        <w:rPr>
          <w:color w:val="auto"/>
        </w:rPr>
        <w:t>。直流无刷电机的额定电压为</w:t>
      </w:r>
      <w:r>
        <w:rPr>
          <w:color w:val="auto"/>
        </w:rPr>
        <w:t xml:space="preserve"> </w:t>
      </w:r>
      <w:r>
        <w:rPr>
          <w:rFonts w:eastAsia="Times New Roman"/>
          <w:color w:val="auto"/>
        </w:rPr>
        <w:t>11.1V</w:t>
      </w:r>
      <w:r>
        <w:rPr>
          <w:color w:val="auto"/>
        </w:rPr>
        <w:t>，额定转速</w:t>
      </w:r>
      <w:r>
        <w:rPr>
          <w:color w:val="auto"/>
        </w:rPr>
        <w:t xml:space="preserve"> </w:t>
      </w:r>
      <w:r>
        <w:rPr>
          <w:rFonts w:eastAsia="Times New Roman"/>
          <w:color w:val="auto"/>
        </w:rPr>
        <w:t>7300</w:t>
      </w:r>
      <w:r>
        <w:rPr>
          <w:rFonts w:eastAsia="Times New Roman"/>
          <w:color w:val="auto"/>
        </w:rPr>
        <w:t>rpm</w:t>
      </w:r>
      <w:r>
        <w:rPr>
          <w:color w:val="auto"/>
        </w:rPr>
        <w:t>。所有电机总数不得超过</w:t>
      </w:r>
      <w:r>
        <w:rPr>
          <w:color w:val="auto"/>
        </w:rPr>
        <w:t xml:space="preserve"> </w:t>
      </w:r>
      <w:r>
        <w:rPr>
          <w:rFonts w:eastAsia="Times New Roman"/>
          <w:color w:val="auto"/>
        </w:rPr>
        <w:t xml:space="preserve">14 </w:t>
      </w:r>
      <w:r>
        <w:rPr>
          <w:color w:val="auto"/>
        </w:rPr>
        <w:t>个。此外，可使用指定的</w:t>
      </w:r>
      <w:r>
        <w:rPr>
          <w:rFonts w:eastAsia="Times New Roman"/>
          <w:color w:val="auto"/>
        </w:rPr>
        <w:t xml:space="preserve">MS-12A </w:t>
      </w:r>
      <w:r>
        <w:rPr>
          <w:color w:val="auto"/>
        </w:rPr>
        <w:t>智能舵机，额定电压</w:t>
      </w:r>
      <w:r>
        <w:rPr>
          <w:color w:val="auto"/>
        </w:rPr>
        <w:t xml:space="preserve"> </w:t>
      </w:r>
      <w:r>
        <w:rPr>
          <w:rFonts w:eastAsia="Times New Roman"/>
          <w:color w:val="auto"/>
        </w:rPr>
        <w:t>6</w:t>
      </w:r>
      <w:r>
        <w:rPr>
          <w:color w:val="auto"/>
        </w:rPr>
        <w:t>～</w:t>
      </w:r>
      <w:r>
        <w:rPr>
          <w:rFonts w:eastAsia="Times New Roman"/>
          <w:color w:val="auto"/>
        </w:rPr>
        <w:t>12.6V</w:t>
      </w:r>
      <w:r>
        <w:rPr>
          <w:color w:val="auto"/>
        </w:rPr>
        <w:t>），总数不得超过</w:t>
      </w:r>
      <w:r>
        <w:rPr>
          <w:color w:val="auto"/>
        </w:rPr>
        <w:t xml:space="preserve"> </w:t>
      </w:r>
      <w:r>
        <w:rPr>
          <w:rFonts w:eastAsia="Times New Roman"/>
          <w:color w:val="auto"/>
        </w:rPr>
        <w:t xml:space="preserve">6 </w:t>
      </w:r>
      <w:r>
        <w:rPr>
          <w:color w:val="auto"/>
        </w:rPr>
        <w:t>个。对所有电机或舵机，严禁更改其内部的机械结构和电气布局。</w:t>
      </w:r>
    </w:p>
    <w:p w:rsidR="00A41667" w:rsidRDefault="00E268B2">
      <w:pPr>
        <w:pStyle w:val="02"/>
        <w:rPr>
          <w:color w:val="auto"/>
        </w:rPr>
      </w:pPr>
      <w:bookmarkStart w:id="20" w:name="_Toc66889974"/>
      <w:r>
        <w:rPr>
          <w:rFonts w:eastAsia="Times New Roman"/>
          <w:color w:val="auto"/>
        </w:rPr>
        <w:lastRenderedPageBreak/>
        <w:t>4.3</w:t>
      </w:r>
      <w:r>
        <w:rPr>
          <w:rFonts w:hint="eastAsia"/>
          <w:color w:val="auto"/>
        </w:rPr>
        <w:t xml:space="preserve"> </w:t>
      </w:r>
      <w:r>
        <w:rPr>
          <w:color w:val="auto"/>
        </w:rPr>
        <w:t>关于机械零件和结构的规定</w:t>
      </w:r>
      <w:bookmarkEnd w:id="20"/>
    </w:p>
    <w:p w:rsidR="00A41667" w:rsidRDefault="00E268B2">
      <w:pPr>
        <w:pStyle w:val="05"/>
        <w:ind w:firstLine="422"/>
        <w:rPr>
          <w:color w:val="auto"/>
        </w:rPr>
      </w:pPr>
      <w:r>
        <w:rPr>
          <w:rFonts w:eastAsia="Times New Roman"/>
          <w:b/>
          <w:color w:val="auto"/>
        </w:rPr>
        <w:t>R15</w:t>
      </w:r>
      <w:r>
        <w:rPr>
          <w:rFonts w:hint="eastAsia"/>
          <w:b/>
          <w:color w:val="auto"/>
        </w:rPr>
        <w:t xml:space="preserve"> </w:t>
      </w:r>
      <w:r>
        <w:rPr>
          <w:b/>
          <w:color w:val="auto"/>
        </w:rPr>
        <w:t>禁止使用的材料</w:t>
      </w:r>
      <w:r>
        <w:rPr>
          <w:color w:val="auto"/>
        </w:rPr>
        <w:t>—</w:t>
      </w:r>
      <w:r>
        <w:rPr>
          <w:color w:val="auto"/>
        </w:rPr>
        <w:t>严格禁止用以下材料或零件制作机器人：</w:t>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color w:val="auto"/>
        </w:rPr>
        <w:t>易燃气体、产生火或烟的设备、液压油或液压件、含有液态汞（水银）的开关或触点；</w:t>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color w:val="auto"/>
        </w:rPr>
        <w:t>危险材料（如铅）；</w:t>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color w:val="auto"/>
        </w:rPr>
        <w:t>不能保证安全的压载物、配重，例如沙子、黄豆、大米等可能在比赛中散落的物体；</w:t>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color w:val="auto"/>
        </w:rPr>
        <w:t>可能造成机器人不必要纠缠的材料；</w:t>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color w:val="auto"/>
        </w:rPr>
        <w:t>有锋利边角、易造成伤害的材料；</w:t>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color w:val="auto"/>
        </w:rPr>
        <w:t>用动物制成的材料（出于健康和安全考虑）；</w:t>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color w:val="auto"/>
        </w:rPr>
        <w:t>含有液体或胶状物的材料（符合要求的胶水、润滑油除外）；</w:t>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color w:val="auto"/>
        </w:rPr>
        <w:t>可能将机器人上电流传导至场地上的任何零件。</w:t>
      </w:r>
    </w:p>
    <w:p w:rsidR="00A41667" w:rsidRDefault="00E268B2">
      <w:pPr>
        <w:pStyle w:val="05"/>
        <w:ind w:firstLine="422"/>
        <w:rPr>
          <w:color w:val="auto"/>
        </w:rPr>
      </w:pPr>
      <w:r>
        <w:rPr>
          <w:rFonts w:eastAsia="Times New Roman"/>
          <w:b/>
          <w:color w:val="auto"/>
        </w:rPr>
        <w:t xml:space="preserve">R16 </w:t>
      </w:r>
      <w:r>
        <w:rPr>
          <w:b/>
          <w:color w:val="auto"/>
        </w:rPr>
        <w:t>可使用自制或商品零件</w:t>
      </w:r>
      <w:r>
        <w:rPr>
          <w:color w:val="auto"/>
        </w:rPr>
        <w:t>—</w:t>
      </w:r>
      <w:r>
        <w:rPr>
          <w:color w:val="auto"/>
        </w:rPr>
        <w:t>参赛队可使用如下材料的自制或采购零件：金属（可有磁性）、木、塑料、橡胶、标准板材、标准型材等。参赛队可使用单自由度的商品组件，如：铰链、链轮和滚子链、滑轮等。</w:t>
      </w:r>
    </w:p>
    <w:p w:rsidR="00A41667" w:rsidRDefault="00E268B2">
      <w:pPr>
        <w:pStyle w:val="05"/>
        <w:ind w:firstLine="422"/>
        <w:rPr>
          <w:color w:val="auto"/>
        </w:rPr>
      </w:pPr>
      <w:r>
        <w:rPr>
          <w:rFonts w:eastAsia="Times New Roman"/>
          <w:b/>
          <w:color w:val="auto"/>
        </w:rPr>
        <w:t xml:space="preserve">R17 </w:t>
      </w:r>
      <w:r>
        <w:rPr>
          <w:b/>
          <w:color w:val="auto"/>
        </w:rPr>
        <w:t>不允许使用的商品部件</w:t>
      </w:r>
      <w:r>
        <w:rPr>
          <w:color w:val="auto"/>
        </w:rPr>
        <w:t>—</w:t>
      </w:r>
      <w:r>
        <w:rPr>
          <w:color w:val="auto"/>
        </w:rPr>
        <w:t>参赛队不得使用不符合规定的商品组件解决比赛问题，包括但不限于多自由度机械臂或机械手等。</w:t>
      </w:r>
    </w:p>
    <w:p w:rsidR="00A41667" w:rsidRDefault="00E268B2">
      <w:pPr>
        <w:pStyle w:val="05"/>
        <w:ind w:firstLine="422"/>
        <w:rPr>
          <w:color w:val="auto"/>
        </w:rPr>
      </w:pPr>
      <w:r>
        <w:rPr>
          <w:rFonts w:eastAsia="Times New Roman"/>
          <w:b/>
          <w:color w:val="auto"/>
        </w:rPr>
        <w:t xml:space="preserve">R18 </w:t>
      </w:r>
      <w:r>
        <w:rPr>
          <w:b/>
          <w:color w:val="auto"/>
        </w:rPr>
        <w:t>谨慎使用润</w:t>
      </w:r>
      <w:r>
        <w:rPr>
          <w:b/>
          <w:color w:val="auto"/>
        </w:rPr>
        <w:t>滑油</w:t>
      </w:r>
      <w:r>
        <w:rPr>
          <w:color w:val="auto"/>
        </w:rPr>
        <w:t>—</w:t>
      </w:r>
      <w:r>
        <w:rPr>
          <w:color w:val="auto"/>
        </w:rPr>
        <w:t>参赛队可使用润滑油（脂）对零件进行保护，但需注意润滑油不可泄漏，防止污染场地。</w:t>
      </w:r>
    </w:p>
    <w:p w:rsidR="00A41667" w:rsidRDefault="00E268B2">
      <w:pPr>
        <w:pStyle w:val="05"/>
        <w:ind w:firstLine="422"/>
        <w:rPr>
          <w:color w:val="auto"/>
        </w:rPr>
      </w:pPr>
      <w:r>
        <w:rPr>
          <w:rFonts w:eastAsia="Times New Roman"/>
          <w:b/>
          <w:color w:val="auto"/>
        </w:rPr>
        <w:t xml:space="preserve">R19 </w:t>
      </w:r>
      <w:r>
        <w:rPr>
          <w:b/>
          <w:color w:val="auto"/>
        </w:rPr>
        <w:t>允许的修改</w:t>
      </w:r>
      <w:r>
        <w:rPr>
          <w:color w:val="auto"/>
        </w:rPr>
        <w:t>—</w:t>
      </w:r>
      <w:r>
        <w:rPr>
          <w:color w:val="auto"/>
        </w:rPr>
        <w:t>参赛队可对梁、连接片等结构件和采购零件用切割、钻孔或涂鸦等方式进行修改，但不得违反其它规则。</w:t>
      </w:r>
    </w:p>
    <w:p w:rsidR="00A41667" w:rsidRDefault="00E268B2">
      <w:pPr>
        <w:pStyle w:val="05"/>
        <w:ind w:firstLine="422"/>
        <w:rPr>
          <w:color w:val="auto"/>
        </w:rPr>
      </w:pPr>
      <w:r>
        <w:rPr>
          <w:rFonts w:eastAsia="Times New Roman"/>
          <w:b/>
          <w:color w:val="auto"/>
        </w:rPr>
        <w:t xml:space="preserve">R20 </w:t>
      </w:r>
      <w:r>
        <w:rPr>
          <w:b/>
          <w:color w:val="auto"/>
        </w:rPr>
        <w:t>不允许的处理</w:t>
      </w:r>
      <w:r>
        <w:rPr>
          <w:color w:val="auto"/>
        </w:rPr>
        <w:t>—</w:t>
      </w:r>
      <w:r>
        <w:rPr>
          <w:color w:val="auto"/>
        </w:rPr>
        <w:t>参赛队不得对任何机械零件进行任何化学处理，包括但不限于熔化、浇铸或其它化学反应导致的变化。</w:t>
      </w:r>
    </w:p>
    <w:p w:rsidR="00A41667" w:rsidRDefault="00E268B2">
      <w:pPr>
        <w:pStyle w:val="05"/>
        <w:ind w:firstLine="422"/>
        <w:rPr>
          <w:color w:val="auto"/>
        </w:rPr>
      </w:pPr>
      <w:r>
        <w:rPr>
          <w:rFonts w:eastAsia="Times New Roman"/>
          <w:b/>
          <w:color w:val="auto"/>
        </w:rPr>
        <w:t xml:space="preserve">R21 </w:t>
      </w:r>
      <w:r>
        <w:rPr>
          <w:b/>
          <w:color w:val="auto"/>
        </w:rPr>
        <w:t>允许的非电气能源</w:t>
      </w:r>
      <w:r>
        <w:rPr>
          <w:color w:val="auto"/>
        </w:rPr>
        <w:t>—</w:t>
      </w:r>
      <w:r>
        <w:rPr>
          <w:color w:val="auto"/>
        </w:rPr>
        <w:t>非电气能源指的是除电能外为机器人运动提供能量的来源。参赛队机器人所使用的非电气能源，可以是</w:t>
      </w:r>
    </w:p>
    <w:p w:rsidR="00A41667" w:rsidRDefault="00E268B2">
      <w:pPr>
        <w:pStyle w:val="05"/>
        <w:ind w:firstLine="420"/>
        <w:rPr>
          <w:color w:val="auto"/>
        </w:rPr>
      </w:pPr>
      <w:r>
        <w:rPr>
          <w:rFonts w:ascii="宋体" w:hAnsi="宋体" w:cs="宋体" w:hint="eastAsia"/>
          <w:color w:val="auto"/>
        </w:rPr>
        <w:t>⑴</w:t>
      </w:r>
      <w:r>
        <w:rPr>
          <w:color w:val="auto"/>
        </w:rPr>
        <w:t xml:space="preserve"> </w:t>
      </w:r>
      <w:r>
        <w:rPr>
          <w:color w:val="auto"/>
        </w:rPr>
        <w:t>机器人或机器人零部件重心高度变化所储存的能量；</w:t>
      </w:r>
    </w:p>
    <w:p w:rsidR="00A41667" w:rsidRDefault="00E268B2">
      <w:pPr>
        <w:pStyle w:val="05"/>
        <w:ind w:firstLine="420"/>
        <w:rPr>
          <w:color w:val="auto"/>
        </w:rPr>
      </w:pPr>
      <w:r>
        <w:rPr>
          <w:rFonts w:ascii="宋体" w:hAnsi="宋体" w:cs="宋体" w:hint="eastAsia"/>
          <w:color w:val="auto"/>
        </w:rPr>
        <w:t>⑵</w:t>
      </w:r>
      <w:r>
        <w:rPr>
          <w:color w:val="auto"/>
        </w:rPr>
        <w:t xml:space="preserve"> </w:t>
      </w:r>
      <w:r>
        <w:rPr>
          <w:color w:val="auto"/>
        </w:rPr>
        <w:t>机器人零件变形所储存的能</w:t>
      </w:r>
      <w:r>
        <w:rPr>
          <w:color w:val="auto"/>
        </w:rPr>
        <w:t>量。</w:t>
      </w:r>
    </w:p>
    <w:p w:rsidR="00A41667" w:rsidRDefault="00E268B2">
      <w:pPr>
        <w:pStyle w:val="05"/>
        <w:ind w:firstLine="422"/>
        <w:rPr>
          <w:color w:val="auto"/>
        </w:rPr>
      </w:pPr>
      <w:r>
        <w:rPr>
          <w:rFonts w:eastAsia="Times New Roman"/>
          <w:b/>
          <w:color w:val="auto"/>
        </w:rPr>
        <w:t xml:space="preserve">R22 </w:t>
      </w:r>
      <w:r>
        <w:rPr>
          <w:b/>
          <w:color w:val="auto"/>
        </w:rPr>
        <w:t>不允许使用发声装置</w:t>
      </w:r>
      <w:r>
        <w:rPr>
          <w:color w:val="auto"/>
        </w:rPr>
        <w:t>—</w:t>
      </w:r>
      <w:r>
        <w:rPr>
          <w:color w:val="auto"/>
        </w:rPr>
        <w:t>机器人不允许使用任何电子发声器件，包括但不限于蜂鸣器、电源管理模块。</w:t>
      </w:r>
    </w:p>
    <w:p w:rsidR="00A41667" w:rsidRDefault="00E268B2">
      <w:pPr>
        <w:pStyle w:val="05"/>
        <w:ind w:firstLine="422"/>
        <w:rPr>
          <w:color w:val="auto"/>
        </w:rPr>
      </w:pPr>
      <w:r>
        <w:rPr>
          <w:rFonts w:eastAsia="Times New Roman"/>
          <w:b/>
          <w:color w:val="auto"/>
        </w:rPr>
        <w:t xml:space="preserve">R23 </w:t>
      </w:r>
      <w:r>
        <w:rPr>
          <w:b/>
          <w:color w:val="auto"/>
        </w:rPr>
        <w:t>允许使用的发光装置</w:t>
      </w:r>
      <w:r>
        <w:rPr>
          <w:color w:val="auto"/>
        </w:rPr>
        <w:t>—</w:t>
      </w:r>
      <w:r>
        <w:rPr>
          <w:color w:val="auto"/>
        </w:rPr>
        <w:t>机器人的发光装置仅限于符合本规则的控制器与激光瞄准器、传感器的自带指示灯、配合传感器使用的光源。机器人不得加装其它光源，避免对参赛队或观众造成安全风险及干扰机器人正常运行。使用激光瞄准器的参赛队在赛前检查时必须向工作人员说明并出示该零件的技术说明书。该激光瞄准器功率应小于等于</w:t>
      </w:r>
      <w:r>
        <w:rPr>
          <w:color w:val="auto"/>
        </w:rPr>
        <w:t xml:space="preserve"> </w:t>
      </w:r>
      <w:r>
        <w:rPr>
          <w:rFonts w:eastAsia="Times New Roman"/>
          <w:color w:val="auto"/>
        </w:rPr>
        <w:t>5mW</w:t>
      </w:r>
      <w:r>
        <w:rPr>
          <w:color w:val="auto"/>
        </w:rPr>
        <w:t>（</w:t>
      </w:r>
      <w:r>
        <w:rPr>
          <w:rFonts w:eastAsia="Times New Roman"/>
          <w:color w:val="auto"/>
        </w:rPr>
        <w:t xml:space="preserve">3a/R </w:t>
      </w:r>
      <w:r>
        <w:rPr>
          <w:color w:val="auto"/>
        </w:rPr>
        <w:t>级以下），每台机器人仅限安装一个激光瞄准器，严禁将激光直射人眼造成伤害。若参赛队采用</w:t>
      </w:r>
      <w:r>
        <w:rPr>
          <w:color w:val="auto"/>
        </w:rPr>
        <w:t>教学用激光笔改装成瞄准器，其电源必须是原配电池，且该电池不得为机器人其它装置供电。</w:t>
      </w:r>
    </w:p>
    <w:p w:rsidR="00A41667" w:rsidRDefault="00E268B2">
      <w:pPr>
        <w:pStyle w:val="05"/>
        <w:ind w:firstLine="422"/>
        <w:rPr>
          <w:color w:val="auto"/>
        </w:rPr>
      </w:pPr>
      <w:r>
        <w:rPr>
          <w:rFonts w:eastAsia="Times New Roman"/>
          <w:b/>
          <w:color w:val="auto"/>
        </w:rPr>
        <w:t xml:space="preserve">R24 </w:t>
      </w:r>
      <w:r>
        <w:rPr>
          <w:b/>
          <w:color w:val="auto"/>
        </w:rPr>
        <w:t>安装参赛队编号牌</w:t>
      </w:r>
      <w:r>
        <w:rPr>
          <w:color w:val="auto"/>
        </w:rPr>
        <w:t>—</w:t>
      </w:r>
      <w:r>
        <w:rPr>
          <w:color w:val="auto"/>
        </w:rPr>
        <w:t>参赛队编号是对该队及其机器人的唯一辨别标志，参赛队编号需印刷并装在</w:t>
      </w:r>
      <w:r>
        <w:rPr>
          <w:color w:val="auto"/>
        </w:rPr>
        <w:lastRenderedPageBreak/>
        <w:t>机器人两个相对的侧面上。号牌应牢固附着在机器人上，能够承受比赛中可能的冲击。参赛队编号印刷字体需为微软雅黑字体，黑色加粗，字号</w:t>
      </w:r>
      <w:r>
        <w:rPr>
          <w:color w:val="auto"/>
        </w:rPr>
        <w:t xml:space="preserve"> </w:t>
      </w:r>
      <w:r>
        <w:rPr>
          <w:rFonts w:eastAsia="Times New Roman"/>
          <w:color w:val="auto"/>
        </w:rPr>
        <w:t>130</w:t>
      </w:r>
      <w:r>
        <w:rPr>
          <w:color w:val="auto"/>
        </w:rPr>
        <w:t>（单个字符高于</w:t>
      </w:r>
      <w:r>
        <w:rPr>
          <w:color w:val="auto"/>
        </w:rPr>
        <w:t xml:space="preserve"> </w:t>
      </w:r>
      <w:r>
        <w:rPr>
          <w:rFonts w:eastAsia="Times New Roman"/>
          <w:color w:val="auto"/>
        </w:rPr>
        <w:t>3.5cm</w:t>
      </w:r>
      <w:r>
        <w:rPr>
          <w:color w:val="auto"/>
        </w:rPr>
        <w:t>），</w:t>
      </w:r>
      <w:r>
        <w:rPr>
          <w:color w:val="auto"/>
        </w:rPr>
        <w:t xml:space="preserve"> </w:t>
      </w:r>
      <w:r>
        <w:rPr>
          <w:color w:val="auto"/>
        </w:rPr>
        <w:t>背景色为浅色。</w:t>
      </w:r>
    </w:p>
    <w:p w:rsidR="00A41667" w:rsidRDefault="00E268B2">
      <w:pPr>
        <w:pStyle w:val="05"/>
        <w:ind w:firstLine="422"/>
        <w:rPr>
          <w:color w:val="auto"/>
        </w:rPr>
      </w:pPr>
      <w:r>
        <w:rPr>
          <w:rFonts w:eastAsia="Times New Roman"/>
          <w:b/>
          <w:color w:val="auto"/>
        </w:rPr>
        <w:t xml:space="preserve">R25 </w:t>
      </w:r>
      <w:r>
        <w:rPr>
          <w:b/>
          <w:color w:val="auto"/>
        </w:rPr>
        <w:t>比赛用品或得分物品应便于取下</w:t>
      </w:r>
      <w:r>
        <w:rPr>
          <w:color w:val="auto"/>
        </w:rPr>
        <w:t>—</w:t>
      </w:r>
      <w:r>
        <w:rPr>
          <w:color w:val="auto"/>
        </w:rPr>
        <w:t>机器人的设计应能在关闭电源的情况下方便地把比赛用品或得分物品从任何抓持机构上地移除。</w:t>
      </w:r>
    </w:p>
    <w:p w:rsidR="00A41667" w:rsidRDefault="00E268B2">
      <w:pPr>
        <w:pStyle w:val="05"/>
        <w:ind w:firstLine="422"/>
        <w:rPr>
          <w:color w:val="auto"/>
        </w:rPr>
      </w:pPr>
      <w:r>
        <w:rPr>
          <w:rFonts w:eastAsia="Times New Roman"/>
          <w:b/>
          <w:color w:val="auto"/>
        </w:rPr>
        <w:t xml:space="preserve">R26 </w:t>
      </w:r>
      <w:r>
        <w:rPr>
          <w:b/>
          <w:color w:val="auto"/>
        </w:rPr>
        <w:t>机器人的检查</w:t>
      </w:r>
      <w:r>
        <w:rPr>
          <w:color w:val="auto"/>
        </w:rPr>
        <w:t>—</w:t>
      </w:r>
      <w:r>
        <w:rPr>
          <w:color w:val="auto"/>
        </w:rPr>
        <w:t>赛前将对</w:t>
      </w:r>
      <w:r>
        <w:rPr>
          <w:color w:val="auto"/>
        </w:rPr>
        <w:t>机器人进行检查，不合格的机器人不得参赛。参赛队可以对不合格的机器人进行一次修改，并再次接受检查。如仍不能通过检查，将被取消比赛资格。</w:t>
      </w:r>
    </w:p>
    <w:p w:rsidR="00A41667" w:rsidRDefault="00E268B2">
      <w:pPr>
        <w:pStyle w:val="05"/>
        <w:ind w:firstLine="422"/>
        <w:rPr>
          <w:color w:val="auto"/>
        </w:rPr>
      </w:pPr>
      <w:r>
        <w:rPr>
          <w:rFonts w:eastAsia="Times New Roman"/>
          <w:b/>
          <w:color w:val="auto"/>
        </w:rPr>
        <w:t xml:space="preserve">R27 </w:t>
      </w:r>
      <w:r>
        <w:rPr>
          <w:b/>
          <w:color w:val="auto"/>
        </w:rPr>
        <w:t>机器人不得雷同</w:t>
      </w:r>
      <w:r>
        <w:rPr>
          <w:color w:val="auto"/>
        </w:rPr>
        <w:t>—</w:t>
      </w:r>
      <w:r>
        <w:rPr>
          <w:color w:val="auto"/>
        </w:rPr>
        <w:t>禁止两台及两台以上相似度极高的机器人参赛，机器人检查及比赛过程中遇到此类情况由裁判长做出最终裁定。裁定机器人雷同后，机器人必须修改，在通过检查前，无法取得比赛资格。</w:t>
      </w:r>
    </w:p>
    <w:p w:rsidR="00A41667" w:rsidRDefault="00E268B2">
      <w:pPr>
        <w:pStyle w:val="01"/>
        <w:spacing w:before="158" w:after="158"/>
        <w:rPr>
          <w:color w:val="auto"/>
        </w:rPr>
      </w:pPr>
      <w:bookmarkStart w:id="21" w:name="_Toc66889975"/>
      <w:r>
        <w:rPr>
          <w:color w:val="auto"/>
        </w:rPr>
        <w:t>5</w:t>
      </w:r>
      <w:r>
        <w:rPr>
          <w:rFonts w:hint="eastAsia"/>
          <w:color w:val="auto"/>
        </w:rPr>
        <w:t xml:space="preserve"> </w:t>
      </w:r>
      <w:r>
        <w:rPr>
          <w:color w:val="auto"/>
        </w:rPr>
        <w:t>比赛规则</w:t>
      </w:r>
      <w:bookmarkEnd w:id="21"/>
    </w:p>
    <w:p w:rsidR="00A41667" w:rsidRDefault="00E268B2">
      <w:pPr>
        <w:pStyle w:val="02"/>
        <w:rPr>
          <w:color w:val="auto"/>
        </w:rPr>
      </w:pPr>
      <w:bookmarkStart w:id="22" w:name="_Toc66889976"/>
      <w:r>
        <w:rPr>
          <w:color w:val="auto"/>
        </w:rPr>
        <w:t>5.1</w:t>
      </w:r>
      <w:r>
        <w:rPr>
          <w:rFonts w:hint="eastAsia"/>
          <w:color w:val="auto"/>
        </w:rPr>
        <w:t xml:space="preserve"> </w:t>
      </w:r>
      <w:r>
        <w:rPr>
          <w:color w:val="auto"/>
        </w:rPr>
        <w:t>安全</w:t>
      </w:r>
      <w:bookmarkEnd w:id="22"/>
    </w:p>
    <w:p w:rsidR="00A41667" w:rsidRDefault="00E268B2">
      <w:pPr>
        <w:pStyle w:val="05"/>
        <w:ind w:firstLine="422"/>
        <w:rPr>
          <w:color w:val="auto"/>
        </w:rPr>
      </w:pPr>
      <w:r>
        <w:rPr>
          <w:rFonts w:eastAsia="Times New Roman"/>
          <w:b/>
          <w:color w:val="auto"/>
        </w:rPr>
        <w:t xml:space="preserve">G01 </w:t>
      </w:r>
      <w:r>
        <w:rPr>
          <w:b/>
          <w:color w:val="auto"/>
        </w:rPr>
        <w:t>充分理解安全的重要性</w:t>
      </w:r>
      <w:r>
        <w:rPr>
          <w:color w:val="auto"/>
        </w:rPr>
        <w:t>—</w:t>
      </w:r>
      <w:r>
        <w:rPr>
          <w:color w:val="auto"/>
        </w:rPr>
        <w:t>参赛队应充分认识到安全是</w:t>
      </w:r>
      <w:r>
        <w:rPr>
          <w:color w:val="auto"/>
        </w:rPr>
        <w:t xml:space="preserve"> </w:t>
      </w:r>
      <w:r>
        <w:rPr>
          <w:rFonts w:eastAsia="Times New Roman"/>
          <w:color w:val="auto"/>
        </w:rPr>
        <w:t xml:space="preserve">MakeX </w:t>
      </w:r>
      <w:r>
        <w:rPr>
          <w:color w:val="auto"/>
        </w:rPr>
        <w:t>机器人挑战赛持续发展的重要问题。参赛队所设计的机器人的安全性对于比赛的安全是最重要的事。作为机器人的设计者，参赛队对其机器人的安全性负有责任。在参赛过程中，参赛者对违反安全规则造成的后果应承担责任。</w:t>
      </w:r>
    </w:p>
    <w:p w:rsidR="00A41667" w:rsidRDefault="00E268B2">
      <w:pPr>
        <w:pStyle w:val="05"/>
        <w:ind w:firstLine="422"/>
        <w:rPr>
          <w:color w:val="auto"/>
        </w:rPr>
      </w:pPr>
      <w:r>
        <w:rPr>
          <w:rFonts w:eastAsia="Times New Roman"/>
          <w:b/>
          <w:color w:val="auto"/>
        </w:rPr>
        <w:t xml:space="preserve">G02 </w:t>
      </w:r>
      <w:r>
        <w:rPr>
          <w:b/>
          <w:color w:val="auto"/>
        </w:rPr>
        <w:t>采取安全防护措施</w:t>
      </w:r>
      <w:r>
        <w:rPr>
          <w:color w:val="auto"/>
        </w:rPr>
        <w:t>—</w:t>
      </w:r>
      <w:r>
        <w:rPr>
          <w:color w:val="auto"/>
        </w:rPr>
        <w:t>参赛队在制作机器人、备赛、比赛时应有充分的安全防护措施（包括但不限于佩戴护目镜、将长发扎起、穿不露脚趾的鞋等）；机器人应采用正规厂家的合格零部件；操作和使用大功率加工设备和大型维修工具时应有成人指导和监督。</w:t>
      </w:r>
    </w:p>
    <w:p w:rsidR="00A41667" w:rsidRDefault="00E268B2">
      <w:pPr>
        <w:pStyle w:val="05"/>
        <w:ind w:firstLine="422"/>
        <w:rPr>
          <w:color w:val="auto"/>
        </w:rPr>
      </w:pPr>
      <w:r>
        <w:rPr>
          <w:rFonts w:eastAsia="Times New Roman"/>
          <w:b/>
          <w:color w:val="auto"/>
        </w:rPr>
        <w:t xml:space="preserve">G03 </w:t>
      </w:r>
      <w:r>
        <w:rPr>
          <w:b/>
          <w:color w:val="auto"/>
        </w:rPr>
        <w:t>机器人检查是重要的安全措施</w:t>
      </w:r>
      <w:r>
        <w:rPr>
          <w:b/>
          <w:color w:val="auto"/>
        </w:rPr>
        <w:t>—</w:t>
      </w:r>
      <w:r>
        <w:rPr>
          <w:color w:val="auto"/>
        </w:rPr>
        <w:t>参赛队应保证机器人的结构便于赛前机器人安全</w:t>
      </w:r>
      <w:r>
        <w:rPr>
          <w:color w:val="auto"/>
        </w:rPr>
        <w:t>检查，并积极配合赛事主办方进行赛前检查。在比赛期间，参赛队应保证所有机器人的制作、测试、使用等行为均不会给本队、对手、裁判、工作人员、观众、设备和比赛场地造成伤害。</w:t>
      </w:r>
      <w:r>
        <w:rPr>
          <w:rFonts w:hint="eastAsia"/>
          <w:color w:val="auto"/>
        </w:rPr>
        <w:t xml:space="preserve">         </w:t>
      </w:r>
    </w:p>
    <w:p w:rsidR="00A41667" w:rsidRDefault="00E268B2">
      <w:pPr>
        <w:pStyle w:val="05"/>
        <w:ind w:firstLine="422"/>
        <w:rPr>
          <w:color w:val="auto"/>
        </w:rPr>
      </w:pPr>
      <w:r>
        <w:rPr>
          <w:rFonts w:eastAsia="Times New Roman"/>
          <w:b/>
          <w:color w:val="auto"/>
        </w:rPr>
        <w:t xml:space="preserve">G04 </w:t>
      </w:r>
      <w:r>
        <w:rPr>
          <w:b/>
          <w:color w:val="auto"/>
        </w:rPr>
        <w:t>不得损坏场地</w:t>
      </w:r>
      <w:r>
        <w:rPr>
          <w:b/>
          <w:color w:val="auto"/>
        </w:rPr>
        <w:t>—</w:t>
      </w:r>
      <w:r>
        <w:rPr>
          <w:color w:val="auto"/>
        </w:rPr>
        <w:t>机器人在比赛中不得恶意</w:t>
      </w:r>
      <w:r>
        <w:rPr>
          <w:color w:val="auto"/>
        </w:rPr>
        <w:t>“</w:t>
      </w:r>
      <w:r>
        <w:rPr>
          <w:color w:val="auto"/>
        </w:rPr>
        <w:t>攀爬</w:t>
      </w:r>
      <w:r>
        <w:rPr>
          <w:color w:val="auto"/>
        </w:rPr>
        <w:t>”</w:t>
      </w:r>
      <w:r>
        <w:rPr>
          <w:color w:val="auto"/>
        </w:rPr>
        <w:t>与</w:t>
      </w:r>
      <w:r>
        <w:rPr>
          <w:color w:val="auto"/>
        </w:rPr>
        <w:t>“</w:t>
      </w:r>
      <w:r>
        <w:rPr>
          <w:color w:val="auto"/>
        </w:rPr>
        <w:t>冲撞</w:t>
      </w:r>
      <w:r>
        <w:rPr>
          <w:color w:val="auto"/>
        </w:rPr>
        <w:t>”</w:t>
      </w:r>
      <w:r>
        <w:rPr>
          <w:color w:val="auto"/>
        </w:rPr>
        <w:t>场地边界和中央隔栏，</w:t>
      </w:r>
      <w:r>
        <w:rPr>
          <w:color w:val="auto"/>
        </w:rPr>
        <w:t xml:space="preserve"> </w:t>
      </w:r>
      <w:r>
        <w:rPr>
          <w:color w:val="auto"/>
        </w:rPr>
        <w:t>不得造成比赛场地任何要素的缺失，不得损坏其它机器人，否则会被视为有重大安全问题。</w:t>
      </w:r>
    </w:p>
    <w:p w:rsidR="00A41667" w:rsidRDefault="00E268B2">
      <w:pPr>
        <w:pStyle w:val="05"/>
        <w:ind w:firstLine="422"/>
        <w:rPr>
          <w:color w:val="auto"/>
        </w:rPr>
      </w:pPr>
      <w:r>
        <w:rPr>
          <w:rFonts w:eastAsia="Times New Roman"/>
          <w:b/>
          <w:color w:val="auto"/>
        </w:rPr>
        <w:t xml:space="preserve">G05 </w:t>
      </w:r>
      <w:r>
        <w:rPr>
          <w:b/>
          <w:color w:val="auto"/>
        </w:rPr>
        <w:t>不得污染场地</w:t>
      </w:r>
      <w:r>
        <w:rPr>
          <w:color w:val="auto"/>
        </w:rPr>
        <w:t>—</w:t>
      </w:r>
      <w:r>
        <w:rPr>
          <w:color w:val="auto"/>
        </w:rPr>
        <w:t>在不污染场地和其它机器人的前提下，可以使用胶水、胶带、润滑油。若出现污染的情况，机器人将被判定为不安全。比赛中机器人不得使用双面胶或胶水粘贴</w:t>
      </w:r>
      <w:r>
        <w:rPr>
          <w:color w:val="auto"/>
        </w:rPr>
        <w:t>场地要素。</w:t>
      </w:r>
    </w:p>
    <w:p w:rsidR="00A41667" w:rsidRDefault="00E268B2">
      <w:pPr>
        <w:pStyle w:val="05"/>
        <w:ind w:firstLine="422"/>
        <w:rPr>
          <w:color w:val="auto"/>
        </w:rPr>
      </w:pPr>
      <w:r>
        <w:rPr>
          <w:rFonts w:eastAsia="Times New Roman"/>
          <w:b/>
          <w:color w:val="auto"/>
        </w:rPr>
        <w:t xml:space="preserve">G06 </w:t>
      </w:r>
      <w:r>
        <w:rPr>
          <w:b/>
          <w:color w:val="auto"/>
        </w:rPr>
        <w:t>不得出界</w:t>
      </w:r>
      <w:r>
        <w:rPr>
          <w:b/>
          <w:color w:val="auto"/>
        </w:rPr>
        <w:t>—</w:t>
      </w:r>
      <w:r>
        <w:rPr>
          <w:color w:val="auto"/>
        </w:rPr>
        <w:t>比赛过程中，机器人的任何部分均不得有意超出场地边界。</w:t>
      </w:r>
    </w:p>
    <w:p w:rsidR="00A41667" w:rsidRDefault="00E268B2">
      <w:pPr>
        <w:pStyle w:val="05"/>
        <w:ind w:firstLine="422"/>
        <w:rPr>
          <w:color w:val="auto"/>
        </w:rPr>
      </w:pPr>
      <w:r>
        <w:rPr>
          <w:rFonts w:eastAsia="Times New Roman"/>
          <w:b/>
          <w:color w:val="auto"/>
        </w:rPr>
        <w:t xml:space="preserve">G07 </w:t>
      </w:r>
      <w:r>
        <w:rPr>
          <w:b/>
          <w:color w:val="auto"/>
        </w:rPr>
        <w:t>安全性判定</w:t>
      </w:r>
      <w:r>
        <w:rPr>
          <w:b/>
          <w:color w:val="auto"/>
        </w:rPr>
        <w:t>—</w:t>
      </w:r>
      <w:r>
        <w:rPr>
          <w:color w:val="auto"/>
        </w:rPr>
        <w:t>裁判有权对机器人的安全性进行判定。违反上述规定的机器人将被禁用。参赛队排除所有安全性问题并通过机器人检查后才能参加比赛。</w:t>
      </w:r>
    </w:p>
    <w:p w:rsidR="00A41667" w:rsidRDefault="00E268B2">
      <w:pPr>
        <w:pStyle w:val="02"/>
        <w:rPr>
          <w:color w:val="auto"/>
        </w:rPr>
      </w:pPr>
      <w:bookmarkStart w:id="23" w:name="_Toc66889977"/>
      <w:r>
        <w:rPr>
          <w:color w:val="auto"/>
        </w:rPr>
        <w:t>5.2</w:t>
      </w:r>
      <w:r>
        <w:rPr>
          <w:rFonts w:hint="eastAsia"/>
          <w:color w:val="auto"/>
        </w:rPr>
        <w:t xml:space="preserve"> </w:t>
      </w:r>
      <w:r>
        <w:rPr>
          <w:color w:val="auto"/>
        </w:rPr>
        <w:t>操作</w:t>
      </w:r>
      <w:bookmarkEnd w:id="23"/>
    </w:p>
    <w:p w:rsidR="00A41667" w:rsidRDefault="00E268B2">
      <w:pPr>
        <w:pStyle w:val="05"/>
        <w:ind w:firstLine="422"/>
        <w:rPr>
          <w:color w:val="auto"/>
        </w:rPr>
      </w:pPr>
      <w:r>
        <w:rPr>
          <w:rFonts w:eastAsia="Times New Roman"/>
          <w:b/>
          <w:color w:val="auto"/>
        </w:rPr>
        <w:t xml:space="preserve">G08 </w:t>
      </w:r>
      <w:r>
        <w:rPr>
          <w:b/>
          <w:color w:val="auto"/>
        </w:rPr>
        <w:t>操作人员</w:t>
      </w:r>
      <w:r>
        <w:rPr>
          <w:color w:val="auto"/>
        </w:rPr>
        <w:t>—</w:t>
      </w:r>
      <w:r>
        <w:rPr>
          <w:color w:val="auto"/>
        </w:rPr>
        <w:t>每支参赛队派出</w:t>
      </w:r>
      <w:r>
        <w:rPr>
          <w:color w:val="auto"/>
        </w:rPr>
        <w:t xml:space="preserve"> 1 </w:t>
      </w:r>
      <w:r>
        <w:rPr>
          <w:color w:val="auto"/>
        </w:rPr>
        <w:t>名操作手和</w:t>
      </w:r>
      <w:r>
        <w:rPr>
          <w:color w:val="auto"/>
        </w:rPr>
        <w:t xml:space="preserve"> 1 </w:t>
      </w:r>
      <w:r>
        <w:rPr>
          <w:color w:val="auto"/>
        </w:rPr>
        <w:t>名观察手。每支联队有</w:t>
      </w:r>
      <w:r>
        <w:rPr>
          <w:color w:val="auto"/>
        </w:rPr>
        <w:t xml:space="preserve"> </w:t>
      </w:r>
      <w:r>
        <w:rPr>
          <w:rFonts w:eastAsia="Times New Roman"/>
          <w:color w:val="auto"/>
        </w:rPr>
        <w:t xml:space="preserve">2 </w:t>
      </w:r>
      <w:r>
        <w:rPr>
          <w:color w:val="auto"/>
        </w:rPr>
        <w:t>名操作手和</w:t>
      </w:r>
      <w:r>
        <w:rPr>
          <w:color w:val="auto"/>
        </w:rPr>
        <w:t xml:space="preserve"> </w:t>
      </w:r>
      <w:r>
        <w:rPr>
          <w:rFonts w:eastAsia="Times New Roman"/>
          <w:color w:val="auto"/>
        </w:rPr>
        <w:t xml:space="preserve">2 </w:t>
      </w:r>
      <w:r>
        <w:rPr>
          <w:color w:val="auto"/>
        </w:rPr>
        <w:t>名观察手，还有一名联队队长。每场比赛由联队操作手控制机器人完成任务。本联队操作手与观察手在比赛期间可自由交换角色。</w:t>
      </w:r>
    </w:p>
    <w:p w:rsidR="00A41667" w:rsidRDefault="00E268B2">
      <w:pPr>
        <w:pStyle w:val="05"/>
        <w:ind w:firstLine="422"/>
        <w:rPr>
          <w:color w:val="auto"/>
        </w:rPr>
      </w:pPr>
      <w:r>
        <w:rPr>
          <w:rFonts w:eastAsia="Times New Roman"/>
          <w:b/>
          <w:color w:val="auto"/>
        </w:rPr>
        <w:t xml:space="preserve">G09 </w:t>
      </w:r>
      <w:r>
        <w:rPr>
          <w:b/>
          <w:color w:val="auto"/>
        </w:rPr>
        <w:t>操作人员不得携带某些设备</w:t>
      </w:r>
      <w:r>
        <w:rPr>
          <w:color w:val="auto"/>
        </w:rPr>
        <w:t>—</w:t>
      </w:r>
      <w:r>
        <w:rPr>
          <w:color w:val="auto"/>
        </w:rPr>
        <w:t>除比赛允许使用的电子通信设</w:t>
      </w:r>
      <w:r>
        <w:rPr>
          <w:color w:val="auto"/>
        </w:rPr>
        <w:t>备外，参赛队员不得携带其它电子通</w:t>
      </w:r>
      <w:r>
        <w:rPr>
          <w:color w:val="auto"/>
        </w:rPr>
        <w:lastRenderedPageBreak/>
        <w:t>信设备（手机、对讲机、无线网络设备等）进入比赛场地。如有发现，犯规联队将被判违例，两次违例将被判黄牌。</w:t>
      </w:r>
    </w:p>
    <w:p w:rsidR="00A41667" w:rsidRDefault="00E268B2">
      <w:pPr>
        <w:pStyle w:val="05"/>
        <w:ind w:firstLine="422"/>
        <w:rPr>
          <w:color w:val="auto"/>
        </w:rPr>
      </w:pPr>
      <w:r>
        <w:rPr>
          <w:rFonts w:eastAsia="Times New Roman"/>
          <w:b/>
          <w:color w:val="auto"/>
        </w:rPr>
        <w:t xml:space="preserve">G10 </w:t>
      </w:r>
      <w:r>
        <w:rPr>
          <w:b/>
          <w:color w:val="auto"/>
        </w:rPr>
        <w:t>参赛队员站位</w:t>
      </w:r>
      <w:r>
        <w:rPr>
          <w:color w:val="auto"/>
        </w:rPr>
        <w:t>—</w:t>
      </w:r>
      <w:r>
        <w:rPr>
          <w:color w:val="auto"/>
        </w:rPr>
        <w:t>参赛队员在比赛过程中只能在操作区内活动，如图</w:t>
      </w:r>
      <w:r>
        <w:rPr>
          <w:color w:val="auto"/>
        </w:rPr>
        <w:t xml:space="preserve"> </w:t>
      </w:r>
      <w:r>
        <w:rPr>
          <w:rFonts w:eastAsia="Times New Roman"/>
          <w:color w:val="auto"/>
        </w:rPr>
        <w:t xml:space="preserve">5.1 </w:t>
      </w:r>
      <w:r>
        <w:rPr>
          <w:color w:val="auto"/>
        </w:rPr>
        <w:t>所示（实际操作区大小视比赛现场情况而定）。裁判将对第一次越界提出警告，参赛队第二次越界将被判违例。</w:t>
      </w:r>
    </w:p>
    <w:p w:rsidR="00A41667" w:rsidRDefault="00E268B2">
      <w:pPr>
        <w:pStyle w:val="07"/>
      </w:pPr>
      <w:r>
        <w:rPr>
          <w:noProof/>
          <w:lang w:val="en-US" w:bidi="ar-SA"/>
        </w:rPr>
        <w:drawing>
          <wp:inline distT="0" distB="0" distL="0" distR="0">
            <wp:extent cx="2535555" cy="1633855"/>
            <wp:effectExtent l="0" t="0" r="0" b="0"/>
            <wp:docPr id="1043" name="image18.jpeg"/>
            <wp:cNvGraphicFramePr/>
            <a:graphic xmlns:a="http://schemas.openxmlformats.org/drawingml/2006/main">
              <a:graphicData uri="http://schemas.openxmlformats.org/drawingml/2006/picture">
                <pic:pic xmlns:pic="http://schemas.openxmlformats.org/drawingml/2006/picture">
                  <pic:nvPicPr>
                    <pic:cNvPr id="1043" name="image18.jpeg"/>
                    <pic:cNvPicPr/>
                  </pic:nvPicPr>
                  <pic:blipFill>
                    <a:blip r:embed="rId26" cstate="print"/>
                    <a:srcRect/>
                    <a:stretch>
                      <a:fillRect/>
                    </a:stretch>
                  </pic:blipFill>
                  <pic:spPr>
                    <a:xfrm>
                      <a:off x="0" y="0"/>
                      <a:ext cx="2535555" cy="1633855"/>
                    </a:xfrm>
                    <a:prstGeom prst="rect">
                      <a:avLst/>
                    </a:prstGeom>
                  </pic:spPr>
                </pic:pic>
              </a:graphicData>
            </a:graphic>
          </wp:inline>
        </w:drawing>
      </w:r>
    </w:p>
    <w:p w:rsidR="00A41667" w:rsidRDefault="00E268B2">
      <w:pPr>
        <w:pStyle w:val="06"/>
        <w:rPr>
          <w:color w:val="auto"/>
        </w:rPr>
      </w:pPr>
      <w:r>
        <w:rPr>
          <w:color w:val="auto"/>
        </w:rPr>
        <w:t>图</w:t>
      </w:r>
      <w:r>
        <w:rPr>
          <w:color w:val="auto"/>
        </w:rPr>
        <w:t xml:space="preserve"> </w:t>
      </w:r>
      <w:r>
        <w:rPr>
          <w:rFonts w:eastAsia="Times New Roman"/>
          <w:color w:val="auto"/>
        </w:rPr>
        <w:t xml:space="preserve">5.1  </w:t>
      </w:r>
      <w:r>
        <w:rPr>
          <w:color w:val="auto"/>
        </w:rPr>
        <w:t>操作区</w:t>
      </w:r>
    </w:p>
    <w:p w:rsidR="00A41667" w:rsidRDefault="00E268B2">
      <w:pPr>
        <w:pStyle w:val="05"/>
        <w:ind w:firstLine="422"/>
        <w:rPr>
          <w:b/>
          <w:color w:val="auto"/>
        </w:rPr>
      </w:pPr>
      <w:r>
        <w:rPr>
          <w:b/>
          <w:color w:val="auto"/>
        </w:rPr>
        <w:t>G11</w:t>
      </w:r>
      <w:r>
        <w:rPr>
          <w:b/>
          <w:color w:val="auto"/>
        </w:rPr>
        <w:t>调整不得超时</w:t>
      </w:r>
      <w:r>
        <w:rPr>
          <w:color w:val="auto"/>
        </w:rPr>
        <w:t>—</w:t>
      </w:r>
      <w:r>
        <w:rPr>
          <w:bCs/>
          <w:color w:val="auto"/>
        </w:rPr>
        <w:t>淘汰赛每局比赛结束后，联队有</w:t>
      </w:r>
      <w:r>
        <w:rPr>
          <w:bCs/>
          <w:color w:val="auto"/>
        </w:rPr>
        <w:t xml:space="preserve"> 5</w:t>
      </w:r>
      <w:r>
        <w:rPr>
          <w:bCs/>
          <w:color w:val="auto"/>
        </w:rPr>
        <w:t>分钟的调整时间，不得超时。犯规联队将被判警告，两次违规将被判违例</w:t>
      </w:r>
      <w:r>
        <w:rPr>
          <w:rFonts w:hint="eastAsia"/>
          <w:bCs/>
          <w:color w:val="auto"/>
        </w:rPr>
        <w:t>，多次违例的机器人本场将被禁用</w:t>
      </w:r>
      <w:r>
        <w:rPr>
          <w:bCs/>
          <w:color w:val="auto"/>
        </w:rPr>
        <w:t>。</w:t>
      </w:r>
    </w:p>
    <w:p w:rsidR="00A41667" w:rsidRDefault="00E268B2">
      <w:pPr>
        <w:pStyle w:val="05"/>
        <w:ind w:firstLine="422"/>
        <w:rPr>
          <w:color w:val="auto"/>
        </w:rPr>
      </w:pPr>
      <w:r>
        <w:rPr>
          <w:rFonts w:eastAsia="Times New Roman"/>
          <w:b/>
          <w:color w:val="auto"/>
        </w:rPr>
        <w:t>G1</w:t>
      </w:r>
      <w:r>
        <w:rPr>
          <w:b/>
          <w:color w:val="auto"/>
        </w:rPr>
        <w:t xml:space="preserve">2 </w:t>
      </w:r>
      <w:r>
        <w:rPr>
          <w:b/>
          <w:color w:val="auto"/>
        </w:rPr>
        <w:t>不得误启动</w:t>
      </w:r>
      <w:r>
        <w:rPr>
          <w:color w:val="auto"/>
        </w:rPr>
        <w:t>—</w:t>
      </w:r>
      <w:r>
        <w:rPr>
          <w:color w:val="auto"/>
        </w:rPr>
        <w:t>在裁判发出比赛开始的信号前机器人启动即为误启动。犯规联队将被判违例，两次违规将被判黄牌。</w:t>
      </w:r>
    </w:p>
    <w:p w:rsidR="00A41667" w:rsidRDefault="00E268B2">
      <w:pPr>
        <w:pStyle w:val="05"/>
        <w:ind w:firstLine="422"/>
        <w:rPr>
          <w:color w:val="auto"/>
        </w:rPr>
      </w:pPr>
      <w:r>
        <w:rPr>
          <w:rFonts w:eastAsia="Times New Roman"/>
          <w:b/>
          <w:color w:val="auto"/>
        </w:rPr>
        <w:t>G1</w:t>
      </w:r>
      <w:r>
        <w:rPr>
          <w:b/>
          <w:color w:val="auto"/>
        </w:rPr>
        <w:t>3</w:t>
      </w:r>
      <w:r>
        <w:rPr>
          <w:rFonts w:eastAsia="Times New Roman"/>
          <w:b/>
          <w:color w:val="auto"/>
        </w:rPr>
        <w:t xml:space="preserve"> </w:t>
      </w:r>
      <w:r>
        <w:rPr>
          <w:b/>
          <w:color w:val="auto"/>
        </w:rPr>
        <w:t>操作人员不得接触比赛场地上的任何物品</w:t>
      </w:r>
      <w:r>
        <w:rPr>
          <w:color w:val="auto"/>
        </w:rPr>
        <w:t>—</w:t>
      </w:r>
      <w:r>
        <w:rPr>
          <w:color w:val="auto"/>
        </w:rPr>
        <w:t>除强化改装阶段外，联队操作人员在比赛过程中不得接触场地框架、比赛用品、得分物品及机器人，包括但不限于倚靠围栏、推动机器人等情况。因投出的小方块飞出场外发生的接触，不受此规则的约束。犯规联队将被判违例，若因违规接触对得分或比赛的进行造成影响，犯规联队将被判黄牌。</w:t>
      </w:r>
    </w:p>
    <w:p w:rsidR="00A41667" w:rsidRDefault="00E268B2">
      <w:pPr>
        <w:pStyle w:val="05"/>
        <w:ind w:firstLine="422"/>
        <w:rPr>
          <w:color w:val="auto"/>
        </w:rPr>
      </w:pPr>
      <w:r>
        <w:rPr>
          <w:rFonts w:eastAsia="Times New Roman"/>
          <w:b/>
          <w:color w:val="auto"/>
        </w:rPr>
        <w:t>G1</w:t>
      </w:r>
      <w:r>
        <w:rPr>
          <w:b/>
          <w:color w:val="auto"/>
        </w:rPr>
        <w:t>4</w:t>
      </w:r>
      <w:r>
        <w:rPr>
          <w:rFonts w:eastAsia="Times New Roman"/>
          <w:b/>
          <w:color w:val="auto"/>
        </w:rPr>
        <w:t xml:space="preserve"> </w:t>
      </w:r>
      <w:r>
        <w:rPr>
          <w:b/>
          <w:color w:val="auto"/>
        </w:rPr>
        <w:t>不得进入比赛场地</w:t>
      </w:r>
      <w:r>
        <w:rPr>
          <w:color w:val="auto"/>
        </w:rPr>
        <w:t>—</w:t>
      </w:r>
      <w:r>
        <w:rPr>
          <w:color w:val="auto"/>
        </w:rPr>
        <w:t>比赛过程中联队成员不得踏入比赛场地或伸入其上方空间，以免影响比赛的进行，强化改装阶段搬</w:t>
      </w:r>
      <w:r>
        <w:rPr>
          <w:color w:val="auto"/>
        </w:rPr>
        <w:t>运机器人进出场地除外。犯规联队将被判违例。两次违规将被判黄牌。</w:t>
      </w:r>
    </w:p>
    <w:p w:rsidR="00A41667" w:rsidRDefault="00E268B2">
      <w:pPr>
        <w:pStyle w:val="05"/>
        <w:ind w:firstLine="422"/>
        <w:rPr>
          <w:color w:val="auto"/>
        </w:rPr>
      </w:pPr>
      <w:r>
        <w:rPr>
          <w:rFonts w:eastAsia="Times New Roman"/>
          <w:b/>
          <w:color w:val="auto"/>
        </w:rPr>
        <w:t>G1</w:t>
      </w:r>
      <w:r>
        <w:rPr>
          <w:b/>
          <w:color w:val="auto"/>
        </w:rPr>
        <w:t>5</w:t>
      </w:r>
      <w:r>
        <w:rPr>
          <w:rFonts w:eastAsia="Times New Roman"/>
          <w:b/>
          <w:color w:val="auto"/>
        </w:rPr>
        <w:t xml:space="preserve"> </w:t>
      </w:r>
      <w:r>
        <w:rPr>
          <w:b/>
          <w:color w:val="auto"/>
        </w:rPr>
        <w:t>自动控制阶段不得使用遥控器</w:t>
      </w:r>
      <w:r>
        <w:rPr>
          <w:color w:val="auto"/>
        </w:rPr>
        <w:t>—</w:t>
      </w:r>
      <w:r>
        <w:rPr>
          <w:color w:val="auto"/>
        </w:rPr>
        <w:t>自动控制阶段内不得使用遥控器或其它方式手动控制机器人。犯规联队将被判红牌。</w:t>
      </w:r>
    </w:p>
    <w:p w:rsidR="00A41667" w:rsidRDefault="00E268B2">
      <w:pPr>
        <w:pStyle w:val="05"/>
        <w:ind w:firstLine="422"/>
        <w:rPr>
          <w:color w:val="auto"/>
        </w:rPr>
      </w:pPr>
      <w:r>
        <w:rPr>
          <w:rFonts w:eastAsia="Times New Roman"/>
          <w:b/>
          <w:color w:val="auto"/>
        </w:rPr>
        <w:t>G1</w:t>
      </w:r>
      <w:r>
        <w:rPr>
          <w:b/>
          <w:color w:val="auto"/>
        </w:rPr>
        <w:t>6</w:t>
      </w:r>
      <w:r>
        <w:rPr>
          <w:rFonts w:eastAsia="Times New Roman"/>
          <w:b/>
          <w:color w:val="auto"/>
        </w:rPr>
        <w:t xml:space="preserve"> </w:t>
      </w:r>
      <w:r>
        <w:rPr>
          <w:b/>
          <w:color w:val="auto"/>
        </w:rPr>
        <w:t>操作被禁用的机器人</w:t>
      </w:r>
      <w:r>
        <w:rPr>
          <w:color w:val="auto"/>
        </w:rPr>
        <w:t>—</w:t>
      </w:r>
      <w:r>
        <w:rPr>
          <w:color w:val="auto"/>
        </w:rPr>
        <w:t>机器人在被禁用后，操作人员不得继续控制。犯规联队将被判违例，严重违规将被判黄牌，直至取消比赛资格。</w:t>
      </w:r>
    </w:p>
    <w:p w:rsidR="00A41667" w:rsidRDefault="00E268B2">
      <w:pPr>
        <w:pStyle w:val="05"/>
        <w:ind w:firstLine="422"/>
        <w:rPr>
          <w:color w:val="auto"/>
        </w:rPr>
      </w:pPr>
      <w:r>
        <w:rPr>
          <w:rFonts w:eastAsia="Times New Roman"/>
          <w:b/>
          <w:color w:val="auto"/>
        </w:rPr>
        <w:t>G1</w:t>
      </w:r>
      <w:r>
        <w:rPr>
          <w:b/>
          <w:color w:val="auto"/>
        </w:rPr>
        <w:t>7</w:t>
      </w:r>
      <w:r>
        <w:rPr>
          <w:rFonts w:eastAsia="Times New Roman"/>
          <w:b/>
          <w:color w:val="auto"/>
        </w:rPr>
        <w:t xml:space="preserve"> </w:t>
      </w:r>
      <w:r>
        <w:rPr>
          <w:b/>
          <w:color w:val="auto"/>
        </w:rPr>
        <w:t>机器人不得遗留零部件</w:t>
      </w:r>
      <w:r>
        <w:rPr>
          <w:b/>
          <w:color w:val="auto"/>
        </w:rPr>
        <w:t>—</w:t>
      </w:r>
      <w:r>
        <w:rPr>
          <w:color w:val="auto"/>
        </w:rPr>
        <w:t>比赛期间，机器人不得分离（分离指与机器人主体分开，且不受控制）零部件并遗撒在比赛场地上，因对方机器人的偶然碰撞导致的脱落除外。若遗撒的零部件影响比赛进行，犯规联队将被判违例。两次</w:t>
      </w:r>
      <w:r>
        <w:rPr>
          <w:color w:val="auto"/>
        </w:rPr>
        <w:t>违规将被判黄牌。</w:t>
      </w:r>
    </w:p>
    <w:p w:rsidR="00A41667" w:rsidRDefault="00E268B2">
      <w:pPr>
        <w:pStyle w:val="05"/>
        <w:ind w:firstLine="422"/>
        <w:rPr>
          <w:color w:val="auto"/>
        </w:rPr>
      </w:pPr>
      <w:r>
        <w:rPr>
          <w:rFonts w:eastAsia="Times New Roman"/>
          <w:b/>
          <w:color w:val="auto"/>
        </w:rPr>
        <w:t>G1</w:t>
      </w:r>
      <w:r>
        <w:rPr>
          <w:b/>
          <w:color w:val="auto"/>
        </w:rPr>
        <w:t>8</w:t>
      </w:r>
      <w:r>
        <w:rPr>
          <w:rFonts w:eastAsia="Times New Roman"/>
          <w:b/>
          <w:color w:val="auto"/>
        </w:rPr>
        <w:t xml:space="preserve"> </w:t>
      </w:r>
      <w:r>
        <w:rPr>
          <w:b/>
          <w:color w:val="auto"/>
        </w:rPr>
        <w:t>机器人在比赛过程中不得超出尺寸限制</w:t>
      </w:r>
      <w:r>
        <w:rPr>
          <w:color w:val="auto"/>
        </w:rPr>
        <w:t>—</w:t>
      </w:r>
      <w:r>
        <w:rPr>
          <w:color w:val="auto"/>
        </w:rPr>
        <w:t>机器人在比赛过程中不得因变形、伸展超出尺寸限制。因被对手抛射的物品击中所导致的尺寸超限除外。犯规联队将被判红牌。</w:t>
      </w:r>
    </w:p>
    <w:p w:rsidR="00A41667" w:rsidRDefault="00E268B2">
      <w:pPr>
        <w:pStyle w:val="05"/>
        <w:ind w:firstLine="422"/>
        <w:rPr>
          <w:color w:val="auto"/>
        </w:rPr>
      </w:pPr>
      <w:r>
        <w:rPr>
          <w:rFonts w:eastAsia="Times New Roman"/>
          <w:b/>
          <w:color w:val="auto"/>
        </w:rPr>
        <w:t>G1</w:t>
      </w:r>
      <w:r>
        <w:rPr>
          <w:b/>
          <w:color w:val="auto"/>
        </w:rPr>
        <w:t>9</w:t>
      </w:r>
      <w:r>
        <w:rPr>
          <w:rFonts w:eastAsia="Times New Roman"/>
          <w:b/>
          <w:color w:val="auto"/>
        </w:rPr>
        <w:t xml:space="preserve"> </w:t>
      </w:r>
      <w:r>
        <w:rPr>
          <w:b/>
          <w:color w:val="auto"/>
        </w:rPr>
        <w:t>不得恶意破坏对方字母</w:t>
      </w:r>
      <w:r>
        <w:rPr>
          <w:b/>
          <w:color w:val="auto"/>
        </w:rPr>
        <w:t>/</w:t>
      </w:r>
      <w:r>
        <w:rPr>
          <w:b/>
          <w:color w:val="auto"/>
        </w:rPr>
        <w:t>空白方块的状态</w:t>
      </w:r>
      <w:r>
        <w:rPr>
          <w:color w:val="auto"/>
        </w:rPr>
        <w:t>—</w:t>
      </w:r>
      <w:r>
        <w:rPr>
          <w:color w:val="auto"/>
        </w:rPr>
        <w:t>机器人及操作人员在任何时刻均不得接触对方已悬挂在悬挂区的字母方块或已堆叠在质检区的字母方块和空白方块，使它们的状态发生变化。犯规联队将被判红牌。用小方块击打对方的字母</w:t>
      </w:r>
      <w:r>
        <w:rPr>
          <w:color w:val="auto"/>
        </w:rPr>
        <w:t>/</w:t>
      </w:r>
      <w:r>
        <w:rPr>
          <w:color w:val="auto"/>
        </w:rPr>
        <w:t>空白方块不在此列。</w:t>
      </w:r>
    </w:p>
    <w:p w:rsidR="00A41667" w:rsidRDefault="00E268B2">
      <w:pPr>
        <w:pStyle w:val="05"/>
        <w:ind w:firstLine="422"/>
        <w:rPr>
          <w:color w:val="auto"/>
        </w:rPr>
      </w:pPr>
      <w:r>
        <w:rPr>
          <w:rFonts w:eastAsia="Times New Roman"/>
          <w:b/>
          <w:color w:val="auto"/>
        </w:rPr>
        <w:lastRenderedPageBreak/>
        <w:t>G</w:t>
      </w:r>
      <w:r>
        <w:rPr>
          <w:b/>
          <w:color w:val="auto"/>
        </w:rPr>
        <w:t>20</w:t>
      </w:r>
      <w:r>
        <w:rPr>
          <w:rFonts w:eastAsia="Times New Roman"/>
          <w:b/>
          <w:color w:val="auto"/>
        </w:rPr>
        <w:t xml:space="preserve"> </w:t>
      </w:r>
      <w:r>
        <w:rPr>
          <w:b/>
          <w:color w:val="auto"/>
        </w:rPr>
        <w:t>不得违规抛射</w:t>
      </w:r>
      <w:r>
        <w:rPr>
          <w:color w:val="auto"/>
        </w:rPr>
        <w:t>—</w:t>
      </w:r>
      <w:r>
        <w:rPr>
          <w:color w:val="auto"/>
        </w:rPr>
        <w:t>机器人不得将不允许抛射的物品</w:t>
      </w:r>
      <w:r>
        <w:rPr>
          <w:color w:val="auto"/>
        </w:rPr>
        <w:t>(</w:t>
      </w:r>
      <w:r>
        <w:rPr>
          <w:color w:val="auto"/>
        </w:rPr>
        <w:t>如球瓶、字母或空白方块、机器人零部件等</w:t>
      </w:r>
      <w:r>
        <w:rPr>
          <w:color w:val="auto"/>
        </w:rPr>
        <w:t>)</w:t>
      </w:r>
      <w:r>
        <w:rPr>
          <w:color w:val="auto"/>
        </w:rPr>
        <w:t>从本队半场</w:t>
      </w:r>
      <w:r>
        <w:rPr>
          <w:color w:val="auto"/>
        </w:rPr>
        <w:t>抛向对方半场。犯规联队将被判黄牌。</w:t>
      </w:r>
    </w:p>
    <w:p w:rsidR="00A41667" w:rsidRDefault="00E268B2">
      <w:pPr>
        <w:pStyle w:val="05"/>
        <w:ind w:firstLine="422"/>
        <w:rPr>
          <w:color w:val="auto"/>
        </w:rPr>
      </w:pPr>
      <w:r>
        <w:rPr>
          <w:rFonts w:eastAsia="Times New Roman"/>
          <w:b/>
          <w:color w:val="auto"/>
        </w:rPr>
        <w:t>G2</w:t>
      </w:r>
      <w:r>
        <w:rPr>
          <w:b/>
          <w:color w:val="auto"/>
        </w:rPr>
        <w:t>1</w:t>
      </w:r>
      <w:r>
        <w:rPr>
          <w:rFonts w:eastAsia="Times New Roman"/>
          <w:b/>
          <w:color w:val="auto"/>
        </w:rPr>
        <w:t xml:space="preserve"> </w:t>
      </w:r>
      <w:r>
        <w:rPr>
          <w:b/>
          <w:color w:val="auto"/>
        </w:rPr>
        <w:t>不得进入、伸入对方半场</w:t>
      </w:r>
      <w:r>
        <w:rPr>
          <w:b/>
          <w:color w:val="auto"/>
        </w:rPr>
        <w:t>—</w:t>
      </w:r>
      <w:r>
        <w:rPr>
          <w:color w:val="auto"/>
        </w:rPr>
        <w:t>比赛过程中，机器人不得有意使底盘的任何部件通过隔栏下方镂空部分伸入对方区域，也不得有意将任何部件越过中央隔栏上方。犯规联队将被判黄牌。特别，如果进入或伸入对方半场的机器人部件别住或限制了对方机器人的运动，裁判可视情况直接取消违规联队的比赛资格。</w:t>
      </w:r>
    </w:p>
    <w:p w:rsidR="00A41667" w:rsidRDefault="00E268B2">
      <w:pPr>
        <w:pStyle w:val="02"/>
        <w:rPr>
          <w:color w:val="auto"/>
        </w:rPr>
      </w:pPr>
      <w:bookmarkStart w:id="24" w:name="_Toc66889978"/>
      <w:r>
        <w:rPr>
          <w:color w:val="auto"/>
        </w:rPr>
        <w:t>5.3</w:t>
      </w:r>
      <w:r>
        <w:rPr>
          <w:rFonts w:hint="eastAsia"/>
          <w:color w:val="auto"/>
        </w:rPr>
        <w:t xml:space="preserve"> </w:t>
      </w:r>
      <w:r>
        <w:rPr>
          <w:color w:val="auto"/>
        </w:rPr>
        <w:t>强化改装</w:t>
      </w:r>
      <w:bookmarkEnd w:id="24"/>
    </w:p>
    <w:p w:rsidR="00A41667" w:rsidRDefault="00E268B2">
      <w:pPr>
        <w:pStyle w:val="05"/>
        <w:ind w:firstLine="422"/>
        <w:rPr>
          <w:color w:val="auto"/>
        </w:rPr>
      </w:pPr>
      <w:r>
        <w:rPr>
          <w:rFonts w:eastAsia="Times New Roman"/>
          <w:b/>
          <w:color w:val="auto"/>
        </w:rPr>
        <w:t xml:space="preserve">G22 </w:t>
      </w:r>
      <w:r>
        <w:rPr>
          <w:b/>
          <w:color w:val="auto"/>
        </w:rPr>
        <w:t>及时取出机器人进行强化改装</w:t>
      </w:r>
      <w:r>
        <w:rPr>
          <w:b/>
          <w:color w:val="auto"/>
        </w:rPr>
        <w:t>—</w:t>
      </w:r>
      <w:r>
        <w:rPr>
          <w:color w:val="auto"/>
        </w:rPr>
        <w:t>手动控制阶段结束时，参赛队员应及时取出已部分进入启动区的本联队机器人。取出机器人时不得改变场上比赛用品的状态，取下机器人上的小方块、字母方块和空白方块，放在机器人原来位置放入附近。违反此规定，犯规联队将被判红牌。</w:t>
      </w:r>
    </w:p>
    <w:p w:rsidR="00A41667" w:rsidRDefault="00E268B2">
      <w:pPr>
        <w:pStyle w:val="05"/>
        <w:ind w:firstLine="422"/>
        <w:rPr>
          <w:color w:val="auto"/>
        </w:rPr>
      </w:pPr>
      <w:r>
        <w:rPr>
          <w:rFonts w:eastAsia="Times New Roman"/>
          <w:b/>
          <w:color w:val="auto"/>
        </w:rPr>
        <w:t xml:space="preserve">G23 </w:t>
      </w:r>
      <w:r>
        <w:rPr>
          <w:b/>
          <w:color w:val="auto"/>
        </w:rPr>
        <w:t>在指定位置进行改装</w:t>
      </w:r>
      <w:r>
        <w:rPr>
          <w:b/>
          <w:color w:val="auto"/>
        </w:rPr>
        <w:t>—</w:t>
      </w:r>
      <w:r>
        <w:rPr>
          <w:color w:val="auto"/>
        </w:rPr>
        <w:t>只有在机器人完全移出场地后才可以在指定位置开始改装。如果移至场外的机器人上仍有得分物品，裁判应将它们立即取出，放在场外，不再在该场比赛中继续使用。带出得分物品的联队将被判违例。</w:t>
      </w:r>
    </w:p>
    <w:p w:rsidR="00A41667" w:rsidRDefault="00E268B2">
      <w:pPr>
        <w:pStyle w:val="05"/>
        <w:ind w:firstLine="422"/>
        <w:rPr>
          <w:color w:val="auto"/>
        </w:rPr>
      </w:pPr>
      <w:r>
        <w:rPr>
          <w:rFonts w:eastAsia="Times New Roman"/>
          <w:b/>
          <w:color w:val="auto"/>
        </w:rPr>
        <w:t xml:space="preserve">G24 </w:t>
      </w:r>
      <w:r>
        <w:rPr>
          <w:b/>
          <w:color w:val="auto"/>
        </w:rPr>
        <w:t>强化改装结束前进入启动区</w:t>
      </w:r>
      <w:r>
        <w:rPr>
          <w:color w:val="auto"/>
        </w:rPr>
        <w:t>—</w:t>
      </w:r>
      <w:r>
        <w:rPr>
          <w:color w:val="auto"/>
        </w:rPr>
        <w:t>参赛队应在强化改装阶段结束前把机器人放入本联队启动区内。违反此规定，该机器人将被判禁用。</w:t>
      </w:r>
    </w:p>
    <w:p w:rsidR="00A41667" w:rsidRDefault="00E268B2">
      <w:pPr>
        <w:pStyle w:val="05"/>
        <w:ind w:firstLine="422"/>
        <w:rPr>
          <w:color w:val="auto"/>
        </w:rPr>
      </w:pPr>
      <w:r>
        <w:rPr>
          <w:rFonts w:eastAsia="Times New Roman"/>
          <w:b/>
          <w:color w:val="auto"/>
        </w:rPr>
        <w:t xml:space="preserve">G25 </w:t>
      </w:r>
      <w:r>
        <w:rPr>
          <w:b/>
          <w:color w:val="auto"/>
        </w:rPr>
        <w:t>强化改装后的机器人</w:t>
      </w:r>
      <w:r>
        <w:rPr>
          <w:color w:val="auto"/>
        </w:rPr>
        <w:t>—</w:t>
      </w:r>
      <w:r>
        <w:rPr>
          <w:color w:val="auto"/>
        </w:rPr>
        <w:t>强化改装阶段后的机器人应符合参赛检查时该机器人的强化改装状态。包括但不限于长宽尺寸，垂直高度尺寸不在本规则限制内。犯规联队将被判红牌。</w:t>
      </w:r>
    </w:p>
    <w:p w:rsidR="00A41667" w:rsidRDefault="00E268B2">
      <w:pPr>
        <w:pStyle w:val="02"/>
        <w:rPr>
          <w:color w:val="auto"/>
        </w:rPr>
      </w:pPr>
      <w:bookmarkStart w:id="25" w:name="_Toc66889979"/>
      <w:r>
        <w:rPr>
          <w:rFonts w:eastAsia="Times New Roman"/>
          <w:color w:val="auto"/>
        </w:rPr>
        <w:t>5.4</w:t>
      </w:r>
      <w:r>
        <w:rPr>
          <w:rFonts w:hint="eastAsia"/>
          <w:color w:val="auto"/>
        </w:rPr>
        <w:t xml:space="preserve"> </w:t>
      </w:r>
      <w:r>
        <w:rPr>
          <w:color w:val="auto"/>
        </w:rPr>
        <w:t>参赛行为</w:t>
      </w:r>
      <w:bookmarkEnd w:id="25"/>
    </w:p>
    <w:p w:rsidR="00A41667" w:rsidRDefault="00E268B2">
      <w:pPr>
        <w:pStyle w:val="05"/>
        <w:ind w:firstLine="422"/>
        <w:rPr>
          <w:color w:val="auto"/>
        </w:rPr>
      </w:pPr>
      <w:r>
        <w:rPr>
          <w:rFonts w:eastAsia="Times New Roman"/>
          <w:b/>
          <w:color w:val="auto"/>
        </w:rPr>
        <w:t xml:space="preserve">G26 </w:t>
      </w:r>
      <w:r>
        <w:rPr>
          <w:b/>
          <w:color w:val="auto"/>
        </w:rPr>
        <w:t>不得违规指导参赛队员</w:t>
      </w:r>
      <w:r>
        <w:rPr>
          <w:color w:val="auto"/>
        </w:rPr>
        <w:t>—</w:t>
      </w:r>
      <w:r>
        <w:rPr>
          <w:color w:val="auto"/>
        </w:rPr>
        <w:t>在比赛全过程中，除参赛学生外，指导教师或家长均不得进入赛场进行任何形式的指导。犯规联队将被警告，若一味坚持，犯规联队将被判违例，并可视情况加大处罚力度，直至取消比赛资格。</w:t>
      </w:r>
    </w:p>
    <w:p w:rsidR="00A41667" w:rsidRDefault="00E268B2">
      <w:pPr>
        <w:pStyle w:val="05"/>
        <w:ind w:firstLine="422"/>
        <w:rPr>
          <w:color w:val="auto"/>
        </w:rPr>
      </w:pPr>
      <w:r>
        <w:rPr>
          <w:rFonts w:eastAsia="Times New Roman"/>
          <w:b/>
          <w:color w:val="auto"/>
        </w:rPr>
        <w:t xml:space="preserve">G27 </w:t>
      </w:r>
      <w:r>
        <w:rPr>
          <w:b/>
          <w:color w:val="auto"/>
        </w:rPr>
        <w:t>不得与场外人员接触</w:t>
      </w:r>
      <w:r>
        <w:rPr>
          <w:color w:val="auto"/>
        </w:rPr>
        <w:t>—</w:t>
      </w:r>
      <w:r>
        <w:rPr>
          <w:color w:val="auto"/>
        </w:rPr>
        <w:t>比赛进行</w:t>
      </w:r>
      <w:r>
        <w:rPr>
          <w:color w:val="auto"/>
        </w:rPr>
        <w:t>过程中，参赛队员不得与场外人员及观众有任何直接接触，包括但不限于传递零件及遥控器、场外指导等。犯规联队将被判警告，若坚持不改，</w:t>
      </w:r>
      <w:r>
        <w:rPr>
          <w:color w:val="auto"/>
        </w:rPr>
        <w:t xml:space="preserve"> </w:t>
      </w:r>
      <w:r>
        <w:rPr>
          <w:color w:val="auto"/>
        </w:rPr>
        <w:t>犯规联队将被判违例，并可视情况加大处罚力度，直至取消比赛资格。</w:t>
      </w:r>
    </w:p>
    <w:p w:rsidR="00A41667" w:rsidRDefault="00E268B2">
      <w:pPr>
        <w:pStyle w:val="05"/>
        <w:ind w:firstLine="422"/>
        <w:rPr>
          <w:color w:val="auto"/>
        </w:rPr>
      </w:pPr>
      <w:r>
        <w:rPr>
          <w:rFonts w:eastAsia="Times New Roman"/>
          <w:b/>
          <w:color w:val="auto"/>
        </w:rPr>
        <w:t xml:space="preserve">G28 </w:t>
      </w:r>
      <w:r>
        <w:rPr>
          <w:b/>
          <w:color w:val="auto"/>
        </w:rPr>
        <w:t>约束比赛行为</w:t>
      </w:r>
      <w:r>
        <w:rPr>
          <w:color w:val="auto"/>
        </w:rPr>
        <w:t>—</w:t>
      </w:r>
      <w:r>
        <w:rPr>
          <w:color w:val="auto"/>
        </w:rPr>
        <w:t>参赛队员及指导教师如有不礼貌影响比赛正常进行的行为，将被视为过分行为。过分行为包括但不限于严重违反竞赛精神、场边指导、重复或公然的犯规、对比赛工作人员或参赛人员不文明、反复或公然做出违背安全的行为等。犯规联队将被判警告，</w:t>
      </w:r>
      <w:r>
        <w:rPr>
          <w:color w:val="auto"/>
        </w:rPr>
        <w:t xml:space="preserve"> </w:t>
      </w:r>
      <w:r>
        <w:rPr>
          <w:color w:val="auto"/>
        </w:rPr>
        <w:t>若不改善，犯规联队将被判违例，并可视情况加大处罚力度，直至取消比赛资格。</w:t>
      </w:r>
    </w:p>
    <w:p w:rsidR="00A41667" w:rsidRDefault="00E268B2">
      <w:pPr>
        <w:pStyle w:val="05"/>
        <w:ind w:firstLine="422"/>
        <w:rPr>
          <w:color w:val="auto"/>
        </w:rPr>
      </w:pPr>
      <w:r>
        <w:rPr>
          <w:rFonts w:eastAsia="Times New Roman"/>
          <w:b/>
          <w:color w:val="auto"/>
        </w:rPr>
        <w:t>G</w:t>
      </w:r>
      <w:r>
        <w:rPr>
          <w:rFonts w:eastAsia="Times New Roman"/>
          <w:b/>
          <w:color w:val="auto"/>
        </w:rPr>
        <w:t xml:space="preserve">29 </w:t>
      </w:r>
      <w:r>
        <w:rPr>
          <w:b/>
          <w:color w:val="auto"/>
        </w:rPr>
        <w:t>文明参与比赛活动</w:t>
      </w:r>
      <w:r>
        <w:rPr>
          <w:color w:val="auto"/>
        </w:rPr>
        <w:t>—</w:t>
      </w:r>
      <w:r>
        <w:rPr>
          <w:color w:val="auto"/>
        </w:rPr>
        <w:t>在参与技术分享、机器人展览、观摩比赛等活动中，参赛队员和指导教师应尊重其它参赛队，维护赛场整洁与秩序，展现</w:t>
      </w:r>
      <w:r>
        <w:rPr>
          <w:rFonts w:hint="eastAsia"/>
          <w:color w:val="auto"/>
        </w:rPr>
        <w:t>比赛</w:t>
      </w:r>
      <w:r>
        <w:rPr>
          <w:color w:val="auto"/>
        </w:rPr>
        <w:t>良好形象。对于严重违反本规则的行为，组委会有权取消涉事参赛队的比赛资格。</w:t>
      </w:r>
    </w:p>
    <w:p w:rsidR="00A41667" w:rsidRDefault="00E268B2">
      <w:pPr>
        <w:pStyle w:val="02"/>
        <w:rPr>
          <w:color w:val="auto"/>
        </w:rPr>
      </w:pPr>
      <w:bookmarkStart w:id="26" w:name="_Toc66889980"/>
      <w:r>
        <w:rPr>
          <w:rFonts w:eastAsia="Times New Roman"/>
          <w:color w:val="auto"/>
        </w:rPr>
        <w:t>5.5</w:t>
      </w:r>
      <w:r>
        <w:rPr>
          <w:rFonts w:hint="eastAsia"/>
          <w:color w:val="auto"/>
        </w:rPr>
        <w:t xml:space="preserve"> </w:t>
      </w:r>
      <w:r>
        <w:rPr>
          <w:color w:val="auto"/>
        </w:rPr>
        <w:t>异常情况</w:t>
      </w:r>
      <w:bookmarkEnd w:id="26"/>
    </w:p>
    <w:p w:rsidR="00A41667" w:rsidRDefault="00E268B2">
      <w:pPr>
        <w:pStyle w:val="05"/>
        <w:ind w:firstLine="422"/>
        <w:rPr>
          <w:color w:val="auto"/>
        </w:rPr>
      </w:pPr>
      <w:r>
        <w:rPr>
          <w:rFonts w:eastAsia="Times New Roman"/>
          <w:b/>
          <w:color w:val="auto"/>
        </w:rPr>
        <w:t xml:space="preserve">G30 </w:t>
      </w:r>
      <w:r>
        <w:rPr>
          <w:b/>
          <w:color w:val="auto"/>
        </w:rPr>
        <w:t>异常情况的处置</w:t>
      </w:r>
      <w:r>
        <w:rPr>
          <w:color w:val="auto"/>
        </w:rPr>
        <w:t>—</w:t>
      </w:r>
      <w:r>
        <w:rPr>
          <w:color w:val="auto"/>
        </w:rPr>
        <w:t>发生异常情况时，裁判有权暂停比赛、中断计时并进行相应处置。异常状态包括但不限于场地、参赛队员和机器人有安全隐患，机器人及比赛系统因干扰等不可控因素无法正常运行、场地要素（包括比赛用品、场地框架等）的缺失或损坏导致无法正常进行比赛。完成对异常情况的处置后，</w:t>
      </w:r>
      <w:r>
        <w:rPr>
          <w:color w:val="auto"/>
        </w:rPr>
        <w:lastRenderedPageBreak/>
        <w:t>将从比赛</w:t>
      </w:r>
      <w:r>
        <w:rPr>
          <w:color w:val="auto"/>
        </w:rPr>
        <w:t>暂停的时间恢复比赛。</w:t>
      </w:r>
    </w:p>
    <w:p w:rsidR="00A41667" w:rsidRDefault="00E268B2">
      <w:pPr>
        <w:pStyle w:val="05"/>
        <w:ind w:firstLine="422"/>
        <w:rPr>
          <w:color w:val="auto"/>
        </w:rPr>
      </w:pPr>
      <w:r>
        <w:rPr>
          <w:rFonts w:eastAsia="Times New Roman"/>
          <w:b/>
          <w:color w:val="auto"/>
        </w:rPr>
        <w:t xml:space="preserve">G31 </w:t>
      </w:r>
      <w:r>
        <w:rPr>
          <w:b/>
          <w:color w:val="auto"/>
        </w:rPr>
        <w:t>可以重赛但有限制</w:t>
      </w:r>
      <w:r>
        <w:rPr>
          <w:color w:val="auto"/>
        </w:rPr>
        <w:t>—</w:t>
      </w:r>
      <w:r>
        <w:rPr>
          <w:color w:val="auto"/>
        </w:rPr>
        <w:t>重赛将由裁判长慎重决定，主要考虑的因素包括但不限于现场工作人员、系统、现场控制的失误或场地本身的缺陷。参赛队的自身原因（如电池电量不足、处理器休眠时间暂停、机器人机械</w:t>
      </w:r>
      <w:r>
        <w:rPr>
          <w:color w:val="auto"/>
        </w:rPr>
        <w:t>/</w:t>
      </w:r>
      <w:r>
        <w:rPr>
          <w:color w:val="auto"/>
        </w:rPr>
        <w:t>电子</w:t>
      </w:r>
      <w:r>
        <w:rPr>
          <w:color w:val="auto"/>
        </w:rPr>
        <w:t>/</w:t>
      </w:r>
      <w:r>
        <w:rPr>
          <w:color w:val="auto"/>
        </w:rPr>
        <w:t>软件</w:t>
      </w:r>
      <w:r>
        <w:rPr>
          <w:color w:val="auto"/>
        </w:rPr>
        <w:t>/</w:t>
      </w:r>
      <w:r>
        <w:rPr>
          <w:color w:val="auto"/>
        </w:rPr>
        <w:t>通信故障、电源管理模块损坏或连接错误等）</w:t>
      </w:r>
      <w:r>
        <w:rPr>
          <w:color w:val="auto"/>
        </w:rPr>
        <w:t xml:space="preserve"> </w:t>
      </w:r>
      <w:r>
        <w:rPr>
          <w:color w:val="auto"/>
        </w:rPr>
        <w:t>导致的任何问题都不会造成重赛。</w:t>
      </w:r>
    </w:p>
    <w:p w:rsidR="00A41667" w:rsidRDefault="00E268B2">
      <w:pPr>
        <w:pStyle w:val="05"/>
        <w:ind w:firstLine="422"/>
        <w:rPr>
          <w:color w:val="auto"/>
        </w:rPr>
      </w:pPr>
      <w:r>
        <w:rPr>
          <w:rFonts w:eastAsia="Times New Roman"/>
          <w:b/>
          <w:color w:val="auto"/>
        </w:rPr>
        <w:t xml:space="preserve">G32 </w:t>
      </w:r>
      <w:r>
        <w:rPr>
          <w:b/>
          <w:color w:val="auto"/>
        </w:rPr>
        <w:t>弃赛</w:t>
      </w:r>
      <w:r>
        <w:rPr>
          <w:color w:val="auto"/>
        </w:rPr>
        <w:t>—</w:t>
      </w:r>
      <w:r>
        <w:rPr>
          <w:color w:val="auto"/>
        </w:rPr>
        <w:t>比赛过程中，参赛队员如因自身原因或不可抗力因素不能继续比赛，必须以签字确认或其它方式告知组委会。确认弃赛后，其它参赛队员应继续完成比赛。</w:t>
      </w:r>
    </w:p>
    <w:p w:rsidR="00A41667" w:rsidRDefault="00E268B2">
      <w:pPr>
        <w:pStyle w:val="02"/>
        <w:rPr>
          <w:color w:val="auto"/>
        </w:rPr>
      </w:pPr>
      <w:bookmarkStart w:id="27" w:name="_Toc66889981"/>
      <w:r>
        <w:rPr>
          <w:color w:val="auto"/>
        </w:rPr>
        <w:t>5.6</w:t>
      </w:r>
      <w:r>
        <w:rPr>
          <w:rFonts w:hint="eastAsia"/>
          <w:color w:val="auto"/>
        </w:rPr>
        <w:t xml:space="preserve"> </w:t>
      </w:r>
      <w:r>
        <w:rPr>
          <w:color w:val="auto"/>
        </w:rPr>
        <w:t>违规</w:t>
      </w:r>
      <w:bookmarkEnd w:id="27"/>
    </w:p>
    <w:p w:rsidR="00A41667" w:rsidRDefault="00E268B2">
      <w:pPr>
        <w:pStyle w:val="05"/>
        <w:ind w:firstLine="422"/>
        <w:rPr>
          <w:color w:val="auto"/>
        </w:rPr>
      </w:pPr>
      <w:r>
        <w:rPr>
          <w:rFonts w:eastAsia="Times New Roman"/>
          <w:b/>
          <w:color w:val="auto"/>
        </w:rPr>
        <w:t xml:space="preserve">G33 </w:t>
      </w:r>
      <w:r>
        <w:rPr>
          <w:b/>
          <w:color w:val="auto"/>
        </w:rPr>
        <w:t>警告</w:t>
      </w:r>
      <w:r>
        <w:rPr>
          <w:color w:val="auto"/>
        </w:rPr>
        <w:t>—</w:t>
      </w:r>
      <w:r>
        <w:rPr>
          <w:color w:val="auto"/>
        </w:rPr>
        <w:t>对于参赛队的一般性、不影响比赛</w:t>
      </w:r>
      <w:r>
        <w:rPr>
          <w:color w:val="auto"/>
        </w:rPr>
        <w:t>结果的违规行为，裁判给予口头警告，并要求该队服从裁判指示。</w:t>
      </w:r>
    </w:p>
    <w:p w:rsidR="00A41667" w:rsidRDefault="00E268B2">
      <w:pPr>
        <w:pStyle w:val="05"/>
        <w:ind w:firstLine="422"/>
        <w:rPr>
          <w:color w:val="auto"/>
        </w:rPr>
      </w:pPr>
      <w:r>
        <w:rPr>
          <w:rFonts w:eastAsia="Times New Roman"/>
          <w:b/>
          <w:color w:val="auto"/>
        </w:rPr>
        <w:t xml:space="preserve">G34 </w:t>
      </w:r>
      <w:r>
        <w:rPr>
          <w:b/>
          <w:color w:val="auto"/>
        </w:rPr>
        <w:t>违例</w:t>
      </w:r>
      <w:r>
        <w:rPr>
          <w:color w:val="auto"/>
        </w:rPr>
        <w:t>—</w:t>
      </w:r>
      <w:r>
        <w:rPr>
          <w:color w:val="auto"/>
        </w:rPr>
        <w:t>裁判发现参赛队做出明显的影响比赛结果的违规行为后，立即向该队宣布违例并扣除</w:t>
      </w:r>
      <w:r>
        <w:rPr>
          <w:color w:val="auto"/>
        </w:rPr>
        <w:t xml:space="preserve"> </w:t>
      </w:r>
      <w:r>
        <w:rPr>
          <w:rFonts w:eastAsia="Times New Roman"/>
          <w:color w:val="auto"/>
        </w:rPr>
        <w:t xml:space="preserve">20 </w:t>
      </w:r>
      <w:r>
        <w:rPr>
          <w:color w:val="auto"/>
        </w:rPr>
        <w:t>分。</w:t>
      </w:r>
    </w:p>
    <w:p w:rsidR="00A41667" w:rsidRDefault="00E268B2">
      <w:pPr>
        <w:pStyle w:val="05"/>
        <w:ind w:firstLine="422"/>
        <w:rPr>
          <w:color w:val="auto"/>
        </w:rPr>
      </w:pPr>
      <w:r>
        <w:rPr>
          <w:rFonts w:eastAsia="Times New Roman"/>
          <w:b/>
          <w:color w:val="auto"/>
        </w:rPr>
        <w:t xml:space="preserve">G35 </w:t>
      </w:r>
      <w:r>
        <w:rPr>
          <w:b/>
          <w:color w:val="auto"/>
        </w:rPr>
        <w:t>黄牌</w:t>
      </w:r>
      <w:r>
        <w:rPr>
          <w:color w:val="auto"/>
        </w:rPr>
        <w:t>—</w:t>
      </w:r>
      <w:r>
        <w:rPr>
          <w:color w:val="auto"/>
        </w:rPr>
        <w:t>某联队成员的行为对比赛结果有较大影响或违犯安全原则，将扣除该队</w:t>
      </w:r>
      <w:r>
        <w:rPr>
          <w:color w:val="auto"/>
        </w:rPr>
        <w:t xml:space="preserve"> </w:t>
      </w:r>
      <w:r>
        <w:rPr>
          <w:rFonts w:eastAsia="Times New Roman"/>
          <w:color w:val="auto"/>
        </w:rPr>
        <w:t xml:space="preserve">60 </w:t>
      </w:r>
      <w:r>
        <w:rPr>
          <w:color w:val="auto"/>
        </w:rPr>
        <w:t>分，</w:t>
      </w:r>
      <w:r>
        <w:rPr>
          <w:color w:val="auto"/>
        </w:rPr>
        <w:t xml:space="preserve"> </w:t>
      </w:r>
      <w:r>
        <w:rPr>
          <w:color w:val="auto"/>
        </w:rPr>
        <w:t>并给予黄牌处罚。</w:t>
      </w:r>
    </w:p>
    <w:p w:rsidR="00A41667" w:rsidRDefault="00E268B2">
      <w:pPr>
        <w:pStyle w:val="05"/>
        <w:ind w:firstLine="422"/>
        <w:rPr>
          <w:color w:val="auto"/>
        </w:rPr>
      </w:pPr>
      <w:r>
        <w:rPr>
          <w:rFonts w:eastAsia="Times New Roman"/>
          <w:b/>
          <w:color w:val="auto"/>
        </w:rPr>
        <w:t xml:space="preserve">G36 </w:t>
      </w:r>
      <w:r>
        <w:rPr>
          <w:b/>
          <w:color w:val="auto"/>
        </w:rPr>
        <w:t>黄牌可以累计升级</w:t>
      </w:r>
      <w:r>
        <w:rPr>
          <w:color w:val="auto"/>
        </w:rPr>
        <w:t>—</w:t>
      </w:r>
      <w:r>
        <w:rPr>
          <w:color w:val="auto"/>
        </w:rPr>
        <w:t>在正式赛中，单场比赛的黄牌处罚累计以参赛队为单位，即某参赛队累计</w:t>
      </w:r>
      <w:r>
        <w:rPr>
          <w:color w:val="auto"/>
        </w:rPr>
        <w:t xml:space="preserve"> </w:t>
      </w:r>
      <w:r>
        <w:rPr>
          <w:rFonts w:eastAsia="Times New Roman"/>
          <w:color w:val="auto"/>
        </w:rPr>
        <w:t xml:space="preserve">2 </w:t>
      </w:r>
      <w:r>
        <w:rPr>
          <w:color w:val="auto"/>
        </w:rPr>
        <w:t>次黄牌升级为红牌处罚。</w:t>
      </w:r>
    </w:p>
    <w:p w:rsidR="00A41667" w:rsidRDefault="00E268B2">
      <w:pPr>
        <w:pStyle w:val="05"/>
        <w:ind w:firstLine="422"/>
        <w:rPr>
          <w:color w:val="auto"/>
        </w:rPr>
      </w:pPr>
      <w:r>
        <w:rPr>
          <w:rFonts w:eastAsia="Times New Roman"/>
          <w:b/>
          <w:color w:val="auto"/>
        </w:rPr>
        <w:t xml:space="preserve">G37 </w:t>
      </w:r>
      <w:r>
        <w:rPr>
          <w:b/>
          <w:color w:val="auto"/>
        </w:rPr>
        <w:t>红牌</w:t>
      </w:r>
      <w:r>
        <w:rPr>
          <w:color w:val="auto"/>
        </w:rPr>
        <w:t>—</w:t>
      </w:r>
      <w:r>
        <w:rPr>
          <w:color w:val="auto"/>
        </w:rPr>
        <w:t>某联队或相关人员的行为对比赛结果有严重影响或严重违犯安全原则，将扣除该队</w:t>
      </w:r>
      <w:r>
        <w:rPr>
          <w:color w:val="auto"/>
        </w:rPr>
        <w:t xml:space="preserve"> </w:t>
      </w:r>
      <w:r>
        <w:rPr>
          <w:rFonts w:eastAsia="Times New Roman"/>
          <w:color w:val="auto"/>
        </w:rPr>
        <w:t xml:space="preserve">120 </w:t>
      </w:r>
      <w:r>
        <w:rPr>
          <w:color w:val="auto"/>
        </w:rPr>
        <w:t>分，并给予红牌处罚，该队的</w:t>
      </w:r>
      <w:r>
        <w:rPr>
          <w:color w:val="auto"/>
        </w:rPr>
        <w:t>机器人将被禁用。在正式赛阶段，红牌处罚单位为参赛队，某队得到红牌处罚后，扣除联队得分</w:t>
      </w:r>
      <w:r>
        <w:rPr>
          <w:color w:val="auto"/>
        </w:rPr>
        <w:t xml:space="preserve"> </w:t>
      </w:r>
      <w:r>
        <w:rPr>
          <w:rFonts w:eastAsia="Times New Roman"/>
          <w:color w:val="auto"/>
        </w:rPr>
        <w:t xml:space="preserve">120 </w:t>
      </w:r>
      <w:r>
        <w:rPr>
          <w:color w:val="auto"/>
        </w:rPr>
        <w:t>分，该犯规队机器人被禁用，比赛继续进行。</w:t>
      </w:r>
    </w:p>
    <w:p w:rsidR="00A41667" w:rsidRDefault="00E268B2">
      <w:pPr>
        <w:pStyle w:val="05"/>
        <w:ind w:firstLine="422"/>
        <w:rPr>
          <w:color w:val="auto"/>
        </w:rPr>
      </w:pPr>
      <w:r>
        <w:rPr>
          <w:rFonts w:eastAsia="Times New Roman"/>
          <w:b/>
          <w:color w:val="auto"/>
        </w:rPr>
        <w:t xml:space="preserve">G38 </w:t>
      </w:r>
      <w:r>
        <w:rPr>
          <w:b/>
          <w:color w:val="auto"/>
        </w:rPr>
        <w:t>禁用</w:t>
      </w:r>
      <w:r>
        <w:rPr>
          <w:color w:val="auto"/>
        </w:rPr>
        <w:t>—</w:t>
      </w:r>
      <w:r>
        <w:rPr>
          <w:color w:val="auto"/>
        </w:rPr>
        <w:t>由于机器人故障（如零件遗留）或违犯安全原则，应立即停止机器人在场地上的一切动作，保持静止直至比赛结束，即禁用。在自动控制阶段就被禁用的机器人，自动控制阶段结束后机器人应离开比赛场地。强化改装阶段若在场外被禁用，则不得再次放入场内。场上机器人出现故障可能导致</w:t>
      </w:r>
      <w:r>
        <w:rPr>
          <w:color w:val="auto"/>
        </w:rPr>
        <w:t>“</w:t>
      </w:r>
      <w:r>
        <w:rPr>
          <w:color w:val="auto"/>
        </w:rPr>
        <w:t>破坏场地</w:t>
      </w:r>
      <w:r>
        <w:rPr>
          <w:color w:val="auto"/>
        </w:rPr>
        <w:t>”</w:t>
      </w:r>
      <w:r>
        <w:rPr>
          <w:color w:val="auto"/>
        </w:rPr>
        <w:t>等判罚时，参赛队员可以主动向裁判申请禁用，</w:t>
      </w:r>
      <w:r>
        <w:rPr>
          <w:color w:val="auto"/>
        </w:rPr>
        <w:t xml:space="preserve"> </w:t>
      </w:r>
      <w:r>
        <w:rPr>
          <w:color w:val="auto"/>
        </w:rPr>
        <w:t>裁判会根据场上的实际情况使用此判罚。</w:t>
      </w:r>
    </w:p>
    <w:p w:rsidR="00A41667" w:rsidRDefault="00E268B2">
      <w:pPr>
        <w:pStyle w:val="05"/>
        <w:ind w:firstLine="422"/>
        <w:rPr>
          <w:color w:val="auto"/>
        </w:rPr>
      </w:pPr>
      <w:r>
        <w:rPr>
          <w:rFonts w:eastAsia="Times New Roman"/>
          <w:b/>
          <w:color w:val="auto"/>
        </w:rPr>
        <w:t xml:space="preserve">G39 </w:t>
      </w:r>
      <w:r>
        <w:rPr>
          <w:b/>
          <w:color w:val="auto"/>
        </w:rPr>
        <w:t>取消比赛资格</w:t>
      </w:r>
      <w:r>
        <w:rPr>
          <w:color w:val="auto"/>
        </w:rPr>
        <w:t>—</w:t>
      </w:r>
      <w:r>
        <w:rPr>
          <w:color w:val="auto"/>
        </w:rPr>
        <w:t>严重违反安全规则或者严重违背比赛精神等行为，</w:t>
      </w:r>
      <w:r>
        <w:rPr>
          <w:color w:val="auto"/>
        </w:rPr>
        <w:t xml:space="preserve"> </w:t>
      </w:r>
      <w:r>
        <w:rPr>
          <w:color w:val="auto"/>
        </w:rPr>
        <w:t>该参赛队将失去继续参加本次比赛的机会和评奖资格，成绩将被保留。正式赛中，若某联队的两支参赛队均被取消比赛资格，该联队立即停止机器人的运行，另一联队继续完成比赛四个阶段的任务。</w:t>
      </w:r>
    </w:p>
    <w:p w:rsidR="00A41667" w:rsidRDefault="00E268B2">
      <w:pPr>
        <w:pStyle w:val="02"/>
        <w:rPr>
          <w:color w:val="auto"/>
        </w:rPr>
      </w:pPr>
      <w:bookmarkStart w:id="28" w:name="_Toc66889982"/>
      <w:r>
        <w:rPr>
          <w:color w:val="auto"/>
        </w:rPr>
        <w:t>5.7</w:t>
      </w:r>
      <w:r>
        <w:rPr>
          <w:rFonts w:hint="eastAsia"/>
          <w:color w:val="auto"/>
        </w:rPr>
        <w:t xml:space="preserve"> </w:t>
      </w:r>
      <w:r>
        <w:rPr>
          <w:color w:val="auto"/>
        </w:rPr>
        <w:t>其它</w:t>
      </w:r>
      <w:bookmarkEnd w:id="28"/>
    </w:p>
    <w:p w:rsidR="00A41667" w:rsidRDefault="00E268B2">
      <w:pPr>
        <w:pStyle w:val="05"/>
        <w:ind w:firstLine="422"/>
        <w:rPr>
          <w:color w:val="auto"/>
        </w:rPr>
      </w:pPr>
      <w:r>
        <w:rPr>
          <w:rFonts w:eastAsia="Times New Roman"/>
          <w:b/>
          <w:color w:val="auto"/>
        </w:rPr>
        <w:t xml:space="preserve">G40 </w:t>
      </w:r>
      <w:r>
        <w:rPr>
          <w:color w:val="auto"/>
        </w:rPr>
        <w:t>组委会有权定期对本手册进行更新与补充，并于比赛前发布。比赛期间，凡是规则手册中没有说明的事项由裁判组决定。本规则是实施裁判工作的依据，在竞赛过程中裁判有最终裁定权。</w:t>
      </w:r>
    </w:p>
    <w:p w:rsidR="00A41667" w:rsidRDefault="00E268B2">
      <w:pPr>
        <w:pStyle w:val="01"/>
        <w:spacing w:before="158" w:after="158"/>
        <w:rPr>
          <w:color w:val="auto"/>
        </w:rPr>
      </w:pPr>
      <w:bookmarkStart w:id="29" w:name="_Toc66889983"/>
      <w:r>
        <w:rPr>
          <w:rFonts w:eastAsia="Times New Roman"/>
          <w:color w:val="auto"/>
        </w:rPr>
        <w:t>6</w:t>
      </w:r>
      <w:r>
        <w:rPr>
          <w:rFonts w:hint="eastAsia"/>
          <w:color w:val="auto"/>
        </w:rPr>
        <w:t xml:space="preserve"> </w:t>
      </w:r>
      <w:r>
        <w:rPr>
          <w:color w:val="auto"/>
        </w:rPr>
        <w:t>赛事安排</w:t>
      </w:r>
      <w:bookmarkEnd w:id="29"/>
    </w:p>
    <w:p w:rsidR="00A41667" w:rsidRDefault="00E268B2">
      <w:pPr>
        <w:pStyle w:val="02"/>
        <w:rPr>
          <w:color w:val="auto"/>
        </w:rPr>
      </w:pPr>
      <w:bookmarkStart w:id="30" w:name="_Toc66889984"/>
      <w:r>
        <w:rPr>
          <w:rFonts w:eastAsia="Times New Roman"/>
          <w:color w:val="auto"/>
        </w:rPr>
        <w:t>6.1</w:t>
      </w:r>
      <w:r>
        <w:rPr>
          <w:rFonts w:hint="eastAsia"/>
          <w:color w:val="auto"/>
        </w:rPr>
        <w:t xml:space="preserve"> </w:t>
      </w:r>
      <w:r>
        <w:rPr>
          <w:color w:val="auto"/>
        </w:rPr>
        <w:t>赛前检查</w:t>
      </w:r>
      <w:bookmarkEnd w:id="30"/>
    </w:p>
    <w:p w:rsidR="00A41667" w:rsidRDefault="00E268B2">
      <w:pPr>
        <w:pStyle w:val="05"/>
        <w:ind w:firstLine="420"/>
        <w:rPr>
          <w:color w:val="auto"/>
        </w:rPr>
      </w:pPr>
      <w:r>
        <w:rPr>
          <w:color w:val="auto"/>
        </w:rPr>
        <w:t>机器人需要通过赛前检查才能参加练习赛和正式比赛，检查员将</w:t>
      </w:r>
      <w:r>
        <w:rPr>
          <w:color w:val="auto"/>
        </w:rPr>
        <w:t>严格按照检查要求对机器人进行安全检查。参赛队可以利用</w:t>
      </w:r>
      <w:r>
        <w:rPr>
          <w:color w:val="auto"/>
        </w:rPr>
        <w:t xml:space="preserve"> </w:t>
      </w:r>
      <w:r>
        <w:rPr>
          <w:rFonts w:eastAsia="Times New Roman"/>
          <w:color w:val="auto"/>
        </w:rPr>
        <w:t>MakeX</w:t>
      </w:r>
      <w:r>
        <w:rPr>
          <w:color w:val="auto"/>
        </w:rPr>
        <w:t>“</w:t>
      </w:r>
      <w:r>
        <w:rPr>
          <w:color w:val="auto"/>
        </w:rPr>
        <w:t>智能制造</w:t>
      </w:r>
      <w:r>
        <w:rPr>
          <w:color w:val="auto"/>
        </w:rPr>
        <w:t>”</w:t>
      </w:r>
      <w:r>
        <w:rPr>
          <w:color w:val="auto"/>
        </w:rPr>
        <w:t>挑战赛机器人自检表预先检查自己的机器人。未通过检查的参赛队应排除发现的所有问题后再次接受检查直至通过，否则不得参赛。</w:t>
      </w:r>
    </w:p>
    <w:p w:rsidR="00A41667" w:rsidRDefault="00E268B2">
      <w:pPr>
        <w:pStyle w:val="02"/>
        <w:rPr>
          <w:color w:val="auto"/>
        </w:rPr>
      </w:pPr>
      <w:bookmarkStart w:id="31" w:name="_Toc66889985"/>
      <w:r>
        <w:rPr>
          <w:rFonts w:eastAsia="Times New Roman"/>
          <w:color w:val="auto"/>
        </w:rPr>
        <w:lastRenderedPageBreak/>
        <w:t>6.2</w:t>
      </w:r>
      <w:r>
        <w:rPr>
          <w:rFonts w:hint="eastAsia"/>
          <w:color w:val="auto"/>
        </w:rPr>
        <w:t xml:space="preserve"> </w:t>
      </w:r>
      <w:r>
        <w:rPr>
          <w:color w:val="auto"/>
        </w:rPr>
        <w:t>提交工程笔记</w:t>
      </w:r>
      <w:bookmarkEnd w:id="31"/>
    </w:p>
    <w:p w:rsidR="00A41667" w:rsidRDefault="00E268B2">
      <w:pPr>
        <w:pStyle w:val="05"/>
        <w:ind w:firstLine="420"/>
        <w:rPr>
          <w:color w:val="auto"/>
        </w:rPr>
      </w:pPr>
      <w:r>
        <w:rPr>
          <w:color w:val="auto"/>
        </w:rPr>
        <w:t>纸质版工程笔记：</w:t>
      </w:r>
      <w:r>
        <w:rPr>
          <w:rFonts w:hint="eastAsia"/>
          <w:color w:val="auto"/>
        </w:rPr>
        <w:t>参加</w:t>
      </w:r>
      <w:r>
        <w:rPr>
          <w:color w:val="auto"/>
        </w:rPr>
        <w:t>“</w:t>
      </w:r>
      <w:r>
        <w:rPr>
          <w:color w:val="auto"/>
        </w:rPr>
        <w:t>智能制造</w:t>
      </w:r>
      <w:r>
        <w:rPr>
          <w:color w:val="auto"/>
        </w:rPr>
        <w:t>”</w:t>
      </w:r>
      <w:r>
        <w:rPr>
          <w:color w:val="auto"/>
        </w:rPr>
        <w:t>比赛</w:t>
      </w:r>
      <w:r>
        <w:rPr>
          <w:rFonts w:hint="eastAsia"/>
          <w:color w:val="auto"/>
        </w:rPr>
        <w:t>的</w:t>
      </w:r>
      <w:r>
        <w:rPr>
          <w:color w:val="auto"/>
        </w:rPr>
        <w:t>参赛队需在评审现场提交</w:t>
      </w:r>
      <w:r>
        <w:rPr>
          <w:color w:val="auto"/>
        </w:rPr>
        <w:t xml:space="preserve"> 1 </w:t>
      </w:r>
      <w:r>
        <w:rPr>
          <w:color w:val="auto"/>
        </w:rPr>
        <w:t>份纸质版工程笔记给评审人员。无法提交工程笔记原件的参赛战队请自行准备复印件。</w:t>
      </w:r>
    </w:p>
    <w:p w:rsidR="00A41667" w:rsidRDefault="00E268B2">
      <w:pPr>
        <w:pStyle w:val="05"/>
        <w:ind w:firstLine="420"/>
        <w:rPr>
          <w:color w:val="auto"/>
        </w:rPr>
      </w:pPr>
      <w:r>
        <w:rPr>
          <w:color w:val="auto"/>
        </w:rPr>
        <w:t>工程笔记书写建议请查看附录</w:t>
      </w:r>
      <w:r>
        <w:rPr>
          <w:color w:val="auto"/>
        </w:rPr>
        <w:t xml:space="preserve"> 1</w:t>
      </w:r>
      <w:r>
        <w:rPr>
          <w:color w:val="auto"/>
        </w:rPr>
        <w:t>。</w:t>
      </w:r>
    </w:p>
    <w:p w:rsidR="00A41667" w:rsidRDefault="00E268B2">
      <w:pPr>
        <w:pStyle w:val="02"/>
        <w:rPr>
          <w:color w:val="auto"/>
        </w:rPr>
      </w:pPr>
      <w:bookmarkStart w:id="32" w:name="_bookmark32"/>
      <w:bookmarkStart w:id="33" w:name="_Toc66889987"/>
      <w:bookmarkEnd w:id="32"/>
      <w:r>
        <w:rPr>
          <w:rFonts w:eastAsia="Times New Roman"/>
          <w:color w:val="auto"/>
        </w:rPr>
        <w:t>6.</w:t>
      </w:r>
      <w:r>
        <w:rPr>
          <w:color w:val="auto"/>
        </w:rPr>
        <w:t>3</w:t>
      </w:r>
      <w:r>
        <w:rPr>
          <w:rFonts w:hint="eastAsia"/>
          <w:color w:val="auto"/>
        </w:rPr>
        <w:t xml:space="preserve"> </w:t>
      </w:r>
      <w:r>
        <w:rPr>
          <w:color w:val="auto"/>
        </w:rPr>
        <w:t>操作手会议</w:t>
      </w:r>
      <w:bookmarkEnd w:id="33"/>
    </w:p>
    <w:p w:rsidR="00A41667" w:rsidRDefault="00E268B2">
      <w:pPr>
        <w:pStyle w:val="05"/>
        <w:ind w:firstLine="420"/>
        <w:rPr>
          <w:color w:val="auto"/>
        </w:rPr>
      </w:pPr>
      <w:r>
        <w:rPr>
          <w:color w:val="auto"/>
        </w:rPr>
        <w:t>比赛开始前，组委会将召集所有参赛队的操作手针对赛场上需要注意的事项进行说明。赛前沟通会仅参赛队的操作手参加，无需携带机器人。</w:t>
      </w:r>
    </w:p>
    <w:p w:rsidR="00A41667" w:rsidRDefault="00E268B2">
      <w:pPr>
        <w:pStyle w:val="02"/>
        <w:rPr>
          <w:color w:val="auto"/>
        </w:rPr>
      </w:pPr>
      <w:bookmarkStart w:id="34" w:name="_Toc66889988"/>
      <w:r>
        <w:rPr>
          <w:rFonts w:eastAsia="Times New Roman"/>
          <w:color w:val="auto"/>
        </w:rPr>
        <w:t>6.</w:t>
      </w:r>
      <w:r>
        <w:rPr>
          <w:color w:val="auto"/>
        </w:rPr>
        <w:t>4</w:t>
      </w:r>
      <w:r>
        <w:rPr>
          <w:rFonts w:hint="eastAsia"/>
          <w:color w:val="auto"/>
        </w:rPr>
        <w:t xml:space="preserve"> </w:t>
      </w:r>
      <w:r>
        <w:rPr>
          <w:color w:val="auto"/>
        </w:rPr>
        <w:t>赛程公布</w:t>
      </w:r>
      <w:bookmarkEnd w:id="34"/>
    </w:p>
    <w:p w:rsidR="00A41667" w:rsidRDefault="00E268B2">
      <w:pPr>
        <w:pStyle w:val="05"/>
        <w:ind w:firstLine="420"/>
        <w:rPr>
          <w:color w:val="auto"/>
        </w:rPr>
      </w:pPr>
      <w:r>
        <w:rPr>
          <w:color w:val="auto"/>
        </w:rPr>
        <w:t>组委会将在比赛开始前至少</w:t>
      </w:r>
      <w:r>
        <w:rPr>
          <w:color w:val="auto"/>
        </w:rPr>
        <w:t xml:space="preserve"> </w:t>
      </w:r>
      <w:r>
        <w:rPr>
          <w:rFonts w:eastAsia="Times New Roman"/>
          <w:color w:val="auto"/>
        </w:rPr>
        <w:t xml:space="preserve">30 </w:t>
      </w:r>
      <w:r>
        <w:rPr>
          <w:color w:val="auto"/>
        </w:rPr>
        <w:t>分钟通过多种手段公布正式赛赛程。赛程包含每支参赛队在每轮比赛中的联队伙伴及赛台编号。</w:t>
      </w:r>
    </w:p>
    <w:p w:rsidR="00A41667" w:rsidRDefault="00E268B2">
      <w:pPr>
        <w:pStyle w:val="02"/>
        <w:rPr>
          <w:color w:val="auto"/>
        </w:rPr>
      </w:pPr>
      <w:bookmarkStart w:id="35" w:name="_Toc66889989"/>
      <w:r>
        <w:rPr>
          <w:color w:val="auto"/>
        </w:rPr>
        <w:t>6.5</w:t>
      </w:r>
      <w:r>
        <w:rPr>
          <w:rFonts w:hint="eastAsia"/>
          <w:color w:val="auto"/>
        </w:rPr>
        <w:t xml:space="preserve"> </w:t>
      </w:r>
      <w:r>
        <w:rPr>
          <w:color w:val="auto"/>
        </w:rPr>
        <w:t>练习赛</w:t>
      </w:r>
      <w:bookmarkEnd w:id="35"/>
    </w:p>
    <w:p w:rsidR="00A41667" w:rsidRDefault="00E268B2">
      <w:pPr>
        <w:pStyle w:val="05"/>
        <w:ind w:firstLine="420"/>
        <w:rPr>
          <w:color w:val="auto"/>
        </w:rPr>
      </w:pPr>
      <w:r>
        <w:rPr>
          <w:color w:val="auto"/>
        </w:rPr>
        <w:t>参赛队在完成参赛检录后可以参加练习赛。</w:t>
      </w:r>
    </w:p>
    <w:p w:rsidR="00A41667" w:rsidRDefault="00E268B2">
      <w:pPr>
        <w:pStyle w:val="02"/>
        <w:rPr>
          <w:color w:val="auto"/>
        </w:rPr>
      </w:pPr>
      <w:bookmarkStart w:id="36" w:name="_Toc66889990"/>
      <w:r>
        <w:rPr>
          <w:color w:val="auto"/>
        </w:rPr>
        <w:t>6.6</w:t>
      </w:r>
      <w:r>
        <w:rPr>
          <w:rFonts w:hint="eastAsia"/>
          <w:color w:val="auto"/>
        </w:rPr>
        <w:t xml:space="preserve"> </w:t>
      </w:r>
      <w:r>
        <w:rPr>
          <w:rFonts w:hint="eastAsia"/>
          <w:color w:val="auto"/>
          <w:lang w:val="en-US"/>
        </w:rPr>
        <w:t>资格</w:t>
      </w:r>
      <w:r>
        <w:rPr>
          <w:color w:val="auto"/>
        </w:rPr>
        <w:t>赛</w:t>
      </w:r>
      <w:bookmarkEnd w:id="36"/>
    </w:p>
    <w:p w:rsidR="00A41667" w:rsidRDefault="00E268B2">
      <w:pPr>
        <w:pStyle w:val="05"/>
        <w:ind w:firstLine="420"/>
        <w:rPr>
          <w:color w:val="auto"/>
        </w:rPr>
      </w:pPr>
      <w:r>
        <w:rPr>
          <w:color w:val="auto"/>
        </w:rPr>
        <w:t>每支参赛队须进行四场</w:t>
      </w:r>
      <w:r>
        <w:rPr>
          <w:rFonts w:hint="eastAsia"/>
          <w:color w:val="auto"/>
        </w:rPr>
        <w:t>资格</w:t>
      </w:r>
      <w:r>
        <w:rPr>
          <w:color w:val="auto"/>
        </w:rPr>
        <w:t>赛。</w:t>
      </w:r>
      <w:r>
        <w:rPr>
          <w:rFonts w:hint="eastAsia"/>
          <w:color w:val="auto"/>
        </w:rPr>
        <w:t>资格</w:t>
      </w:r>
      <w:r>
        <w:rPr>
          <w:color w:val="auto"/>
        </w:rPr>
        <w:t>赛的目的是对参赛队进行</w:t>
      </w:r>
      <w:r>
        <w:rPr>
          <w:rFonts w:hint="eastAsia"/>
          <w:color w:val="auto"/>
        </w:rPr>
        <w:t>成绩</w:t>
      </w:r>
      <w:r>
        <w:rPr>
          <w:color w:val="auto"/>
        </w:rPr>
        <w:t>排序，以联队对抗形式进行。每轮比赛的联队伙伴与对手联队将由系统随机分配。</w:t>
      </w:r>
    </w:p>
    <w:p w:rsidR="00A41667" w:rsidRDefault="00E268B2">
      <w:pPr>
        <w:pStyle w:val="05"/>
        <w:ind w:firstLine="420"/>
        <w:rPr>
          <w:color w:val="auto"/>
        </w:rPr>
      </w:pPr>
      <w:r>
        <w:rPr>
          <w:color w:val="auto"/>
        </w:rPr>
        <w:t>参赛队将在每场</w:t>
      </w:r>
      <w:r>
        <w:rPr>
          <w:rFonts w:hint="eastAsia"/>
          <w:color w:val="auto"/>
        </w:rPr>
        <w:t>正式</w:t>
      </w:r>
      <w:r>
        <w:rPr>
          <w:color w:val="auto"/>
        </w:rPr>
        <w:t>赛中得到胜负分，组成联队的两支参赛队的胜负分是相同的。获胜联队的胜负分为</w:t>
      </w:r>
      <w:r>
        <w:rPr>
          <w:color w:val="auto"/>
        </w:rPr>
        <w:t xml:space="preserve"> 10</w:t>
      </w:r>
      <w:r>
        <w:rPr>
          <w:color w:val="auto"/>
        </w:rPr>
        <w:t>，持平联队的胜负分为</w:t>
      </w:r>
      <w:r>
        <w:rPr>
          <w:color w:val="auto"/>
        </w:rPr>
        <w:t xml:space="preserve"> 4</w:t>
      </w:r>
      <w:r>
        <w:rPr>
          <w:color w:val="auto"/>
        </w:rPr>
        <w:t>，失利联队的胜负分为</w:t>
      </w:r>
      <w:r>
        <w:rPr>
          <w:color w:val="auto"/>
        </w:rPr>
        <w:t xml:space="preserve"> 2</w:t>
      </w:r>
      <w:r>
        <w:rPr>
          <w:color w:val="auto"/>
        </w:rPr>
        <w:t>。</w:t>
      </w:r>
    </w:p>
    <w:p w:rsidR="00A41667" w:rsidRDefault="00E268B2">
      <w:pPr>
        <w:pStyle w:val="05"/>
        <w:ind w:firstLine="420"/>
        <w:rPr>
          <w:color w:val="auto"/>
        </w:rPr>
      </w:pPr>
      <w:r>
        <w:rPr>
          <w:color w:val="auto"/>
        </w:rPr>
        <w:t>排序分为胜负分与评审分之和。排序分是参赛队排名的主要依据，如果排序分持平，则按以下顺序确定排名先后：</w:t>
      </w:r>
    </w:p>
    <w:p w:rsidR="00A41667" w:rsidRDefault="00E268B2">
      <w:pPr>
        <w:pStyle w:val="05"/>
        <w:ind w:firstLine="420"/>
        <w:rPr>
          <w:color w:val="auto"/>
        </w:rPr>
      </w:pPr>
      <w:r>
        <w:rPr>
          <w:rFonts w:ascii="宋体" w:hAnsi="宋体" w:cs="宋体" w:hint="eastAsia"/>
          <w:color w:val="auto"/>
        </w:rPr>
        <w:t>⑴</w:t>
      </w:r>
      <w:r>
        <w:rPr>
          <w:color w:val="auto"/>
        </w:rPr>
        <w:t xml:space="preserve"> </w:t>
      </w:r>
      <w:r>
        <w:rPr>
          <w:color w:val="auto"/>
        </w:rPr>
        <w:t>参赛队在四场正式赛自动控制阶段总得分高者在前；</w:t>
      </w:r>
    </w:p>
    <w:p w:rsidR="00A41667" w:rsidRDefault="00E268B2">
      <w:pPr>
        <w:pStyle w:val="05"/>
        <w:ind w:firstLine="420"/>
        <w:rPr>
          <w:color w:val="auto"/>
        </w:rPr>
      </w:pPr>
      <w:r>
        <w:rPr>
          <w:rFonts w:ascii="宋体" w:hAnsi="宋体" w:cs="宋体" w:hint="eastAsia"/>
          <w:color w:val="auto"/>
        </w:rPr>
        <w:t>⑵</w:t>
      </w:r>
      <w:r>
        <w:rPr>
          <w:color w:val="auto"/>
        </w:rPr>
        <w:t xml:space="preserve"> </w:t>
      </w:r>
      <w:r>
        <w:rPr>
          <w:color w:val="auto"/>
        </w:rPr>
        <w:t>若仍持平，则参赛队四场正式赛总得分高者在前；</w:t>
      </w:r>
    </w:p>
    <w:p w:rsidR="00A41667" w:rsidRDefault="00E268B2">
      <w:pPr>
        <w:pStyle w:val="05"/>
        <w:ind w:firstLine="420"/>
        <w:rPr>
          <w:color w:val="auto"/>
        </w:rPr>
      </w:pPr>
      <w:r>
        <w:rPr>
          <w:rFonts w:ascii="宋体" w:hAnsi="宋体" w:cs="宋体" w:hint="eastAsia"/>
          <w:color w:val="auto"/>
        </w:rPr>
        <w:t>⑶</w:t>
      </w:r>
      <w:r>
        <w:rPr>
          <w:color w:val="auto"/>
        </w:rPr>
        <w:t xml:space="preserve"> </w:t>
      </w:r>
      <w:r>
        <w:rPr>
          <w:color w:val="auto"/>
        </w:rPr>
        <w:t>若仍持平，则参赛队四场正式赛的总净胜分高者在前；</w:t>
      </w:r>
    </w:p>
    <w:p w:rsidR="00A41667" w:rsidRDefault="00E268B2">
      <w:pPr>
        <w:pStyle w:val="05"/>
        <w:ind w:firstLine="420"/>
        <w:rPr>
          <w:color w:val="auto"/>
        </w:rPr>
      </w:pPr>
      <w:r>
        <w:rPr>
          <w:rFonts w:ascii="宋体" w:hAnsi="宋体" w:cs="宋体" w:hint="eastAsia"/>
          <w:color w:val="auto"/>
        </w:rPr>
        <w:t>⑷</w:t>
      </w:r>
      <w:r>
        <w:rPr>
          <w:color w:val="auto"/>
        </w:rPr>
        <w:t>若</w:t>
      </w:r>
      <w:r>
        <w:rPr>
          <w:rFonts w:hint="eastAsia"/>
          <w:color w:val="auto"/>
        </w:rPr>
        <w:t>进入淘汰赛或争夺淘汰赛的队伍</w:t>
      </w:r>
      <w:r>
        <w:rPr>
          <w:color w:val="auto"/>
        </w:rPr>
        <w:t>仍持平，则排名相同的参赛队进行一对一的附加赛，获胜队在前，若平局则自动控制阶段得分高者在前，</w:t>
      </w:r>
      <w:r>
        <w:rPr>
          <w:color w:val="auto"/>
        </w:rPr>
        <w:t>若仍持平则再次附加赛。</w:t>
      </w:r>
    </w:p>
    <w:p w:rsidR="00A41667" w:rsidRDefault="00E268B2">
      <w:pPr>
        <w:spacing w:after="183" w:line="265" w:lineRule="auto"/>
        <w:ind w:right="76" w:firstLineChars="200" w:firstLine="440"/>
      </w:pPr>
      <w:r>
        <w:rPr>
          <w:rFonts w:hint="eastAsia"/>
        </w:rPr>
        <w:t>排序后，排名靠前的参赛队将晋级淘汰赛。如参赛队伍数超过</w:t>
      </w:r>
      <w:r>
        <w:t>25</w:t>
      </w:r>
      <w:r>
        <w:t>支队伍选取前</w:t>
      </w:r>
      <w:r>
        <w:t>16</w:t>
      </w:r>
      <w:r>
        <w:t>名将参加</w:t>
      </w:r>
      <w:r>
        <w:rPr>
          <w:rFonts w:hint="eastAsia"/>
        </w:rPr>
        <w:t>淘汰</w:t>
      </w:r>
      <w:r>
        <w:t>赛。如少于等于</w:t>
      </w:r>
      <w:r>
        <w:t>25</w:t>
      </w:r>
      <w:r>
        <w:t>支，则选</w:t>
      </w:r>
      <w:r>
        <w:t>8</w:t>
      </w:r>
      <w:r>
        <w:t>支队伍进入</w:t>
      </w:r>
      <w:r>
        <w:rPr>
          <w:rFonts w:hint="eastAsia"/>
        </w:rPr>
        <w:t>淘汰</w:t>
      </w:r>
      <w:r>
        <w:t>赛。</w:t>
      </w:r>
    </w:p>
    <w:p w:rsidR="00A41667" w:rsidRDefault="00E268B2">
      <w:pPr>
        <w:pStyle w:val="02"/>
        <w:rPr>
          <w:color w:val="auto"/>
        </w:rPr>
      </w:pPr>
      <w:r>
        <w:rPr>
          <w:rFonts w:hint="eastAsia"/>
          <w:color w:val="auto"/>
        </w:rPr>
        <w:t>6</w:t>
      </w:r>
      <w:r>
        <w:rPr>
          <w:color w:val="auto"/>
        </w:rPr>
        <w:t>.7</w:t>
      </w:r>
      <w:r>
        <w:rPr>
          <w:color w:val="auto"/>
        </w:rPr>
        <w:t>联队选配</w:t>
      </w:r>
      <w:r>
        <w:rPr>
          <w:rFonts w:ascii="Microsoft YaHei UI" w:eastAsia="Microsoft YaHei UI" w:hAnsi="Microsoft YaHei UI" w:cs="Microsoft YaHei UI"/>
          <w:color w:val="auto"/>
        </w:rPr>
        <w:t xml:space="preserve"> </w:t>
      </w:r>
    </w:p>
    <w:p w:rsidR="00A41667" w:rsidRDefault="00E268B2">
      <w:pPr>
        <w:ind w:left="425"/>
        <w:rPr>
          <w:sz w:val="21"/>
          <w:szCs w:val="21"/>
        </w:rPr>
      </w:pPr>
      <w:r>
        <w:rPr>
          <w:sz w:val="21"/>
          <w:szCs w:val="21"/>
        </w:rPr>
        <w:t>晋级的参赛队按照资格赛排序进行联队选配。</w:t>
      </w:r>
      <w:r>
        <w:rPr>
          <w:sz w:val="21"/>
          <w:szCs w:val="21"/>
        </w:rPr>
        <w:t xml:space="preserve"> </w:t>
      </w:r>
    </w:p>
    <w:p w:rsidR="00A41667" w:rsidRDefault="00E268B2">
      <w:pPr>
        <w:spacing w:line="385" w:lineRule="auto"/>
        <w:ind w:left="-13" w:firstLine="420"/>
        <w:rPr>
          <w:sz w:val="21"/>
          <w:szCs w:val="21"/>
        </w:rPr>
      </w:pPr>
      <w:r>
        <w:rPr>
          <w:sz w:val="21"/>
          <w:szCs w:val="21"/>
        </w:rPr>
        <w:t>选配组成的联队在淘汰赛中将不再变化。联队选配后，组成联队的两支参赛队将有</w:t>
      </w:r>
      <w:r>
        <w:rPr>
          <w:sz w:val="21"/>
          <w:szCs w:val="21"/>
        </w:rPr>
        <w:t xml:space="preserve"> </w:t>
      </w:r>
      <w:r>
        <w:rPr>
          <w:rFonts w:ascii="Times New Roman" w:eastAsia="Times New Roman" w:hAnsi="Times New Roman" w:cs="Times New Roman"/>
          <w:sz w:val="21"/>
          <w:szCs w:val="21"/>
        </w:rPr>
        <w:t xml:space="preserve">30 </w:t>
      </w:r>
      <w:r>
        <w:rPr>
          <w:sz w:val="21"/>
          <w:szCs w:val="21"/>
        </w:rPr>
        <w:t>分钟时间相互沟通。</w:t>
      </w:r>
      <w:r>
        <w:rPr>
          <w:sz w:val="21"/>
          <w:szCs w:val="21"/>
        </w:rPr>
        <w:t xml:space="preserve">  </w:t>
      </w:r>
    </w:p>
    <w:p w:rsidR="00A41667" w:rsidRDefault="00E268B2">
      <w:pPr>
        <w:spacing w:line="367" w:lineRule="auto"/>
        <w:ind w:left="-13" w:firstLine="420"/>
        <w:rPr>
          <w:sz w:val="21"/>
          <w:szCs w:val="21"/>
        </w:rPr>
      </w:pPr>
      <w:r>
        <w:rPr>
          <w:sz w:val="21"/>
          <w:szCs w:val="21"/>
        </w:rPr>
        <w:t>联队选配开始前未到场的晋级队被视为自愿放弃选择权，但只要被选择时在选配现场就有被选择的机会。联队选配结束时未到场的晋级队视为自愿放弃比赛。</w:t>
      </w:r>
      <w:r>
        <w:rPr>
          <w:sz w:val="21"/>
          <w:szCs w:val="21"/>
        </w:rPr>
        <w:t xml:space="preserve"> </w:t>
      </w:r>
    </w:p>
    <w:p w:rsidR="00A41667" w:rsidRDefault="00E268B2">
      <w:pPr>
        <w:spacing w:line="367" w:lineRule="auto"/>
        <w:ind w:left="-13" w:firstLine="420"/>
        <w:rPr>
          <w:sz w:val="21"/>
          <w:szCs w:val="21"/>
        </w:rPr>
      </w:pPr>
      <w:r>
        <w:rPr>
          <w:sz w:val="21"/>
          <w:szCs w:val="21"/>
        </w:rPr>
        <w:lastRenderedPageBreak/>
        <w:t>若联队选配前某一晋级队弃赛，排名在其后的晋级队</w:t>
      </w:r>
      <w:r>
        <w:rPr>
          <w:sz w:val="21"/>
          <w:szCs w:val="21"/>
        </w:rPr>
        <w:t>自动向前，并按资格赛的排序递补一支晋级队。</w:t>
      </w:r>
      <w:r>
        <w:rPr>
          <w:sz w:val="21"/>
          <w:szCs w:val="21"/>
        </w:rPr>
        <w:t xml:space="preserve"> </w:t>
      </w:r>
    </w:p>
    <w:p w:rsidR="00A41667" w:rsidRDefault="00E268B2">
      <w:pPr>
        <w:ind w:left="425"/>
        <w:rPr>
          <w:sz w:val="21"/>
          <w:szCs w:val="21"/>
        </w:rPr>
      </w:pPr>
      <w:r>
        <w:rPr>
          <w:sz w:val="21"/>
          <w:szCs w:val="21"/>
        </w:rPr>
        <w:t>联队选配的过程如下：</w:t>
      </w:r>
      <w:r>
        <w:rPr>
          <w:sz w:val="21"/>
          <w:szCs w:val="21"/>
        </w:rPr>
        <w:t xml:space="preserve"> </w:t>
      </w:r>
    </w:p>
    <w:p w:rsidR="00A41667" w:rsidRDefault="00E268B2">
      <w:pPr>
        <w:widowControl/>
        <w:autoSpaceDE/>
        <w:autoSpaceDN/>
        <w:spacing w:line="355" w:lineRule="auto"/>
        <w:ind w:firstLineChars="200" w:firstLine="440"/>
        <w:rPr>
          <w:sz w:val="21"/>
          <w:szCs w:val="21"/>
        </w:rPr>
      </w:pPr>
      <w:r>
        <w:rPr>
          <w:rFonts w:hint="eastAsia"/>
        </w:rPr>
        <w:t>⑴</w:t>
      </w:r>
      <w:r>
        <w:rPr>
          <w:sz w:val="21"/>
          <w:szCs w:val="21"/>
        </w:rPr>
        <w:t>每支晋级的参赛队选出一名队员作为代表，在指定时间到联队选配现场参加联队选配。</w:t>
      </w:r>
      <w:r>
        <w:rPr>
          <w:rFonts w:ascii="Times New Roman" w:eastAsia="Times New Roman" w:hAnsi="Times New Roman" w:cs="Times New Roman"/>
          <w:sz w:val="21"/>
          <w:szCs w:val="21"/>
        </w:rPr>
        <w:t xml:space="preserve"> </w:t>
      </w:r>
    </w:p>
    <w:p w:rsidR="00A41667" w:rsidRDefault="00E268B2">
      <w:pPr>
        <w:widowControl/>
        <w:autoSpaceDE/>
        <w:autoSpaceDN/>
        <w:spacing w:line="356" w:lineRule="auto"/>
        <w:ind w:firstLineChars="200" w:firstLine="440"/>
        <w:rPr>
          <w:sz w:val="21"/>
          <w:szCs w:val="21"/>
        </w:rPr>
      </w:pPr>
      <w:r>
        <w:rPr>
          <w:rFonts w:hint="eastAsia"/>
        </w:rPr>
        <w:t>⑵</w:t>
      </w:r>
      <w:r>
        <w:rPr>
          <w:sz w:val="21"/>
          <w:szCs w:val="21"/>
        </w:rPr>
        <w:t>按照资格赛后的排名，排序最前且尚未加入某一联队的参赛队代表将首先作为主队队长邀请另一支有效的参赛队作为联队伙伴。</w:t>
      </w:r>
      <w:r>
        <w:rPr>
          <w:rFonts w:ascii="Times New Roman" w:eastAsia="Times New Roman" w:hAnsi="Times New Roman" w:cs="Times New Roman"/>
          <w:sz w:val="21"/>
          <w:szCs w:val="21"/>
        </w:rPr>
        <w:t xml:space="preserve"> </w:t>
      </w:r>
    </w:p>
    <w:p w:rsidR="00A41667" w:rsidRDefault="00E268B2">
      <w:pPr>
        <w:widowControl/>
        <w:autoSpaceDE/>
        <w:autoSpaceDN/>
        <w:spacing w:line="259" w:lineRule="auto"/>
        <w:ind w:firstLineChars="200" w:firstLine="440"/>
        <w:rPr>
          <w:sz w:val="21"/>
          <w:szCs w:val="21"/>
        </w:rPr>
      </w:pPr>
      <w:r>
        <w:rPr>
          <w:rFonts w:hint="eastAsia"/>
        </w:rPr>
        <w:t>⑶</w:t>
      </w:r>
      <w:r>
        <w:rPr>
          <w:sz w:val="21"/>
          <w:szCs w:val="21"/>
        </w:rPr>
        <w:t>排名前</w:t>
      </w:r>
      <w:r>
        <w:rPr>
          <w:rFonts w:ascii="Times New Roman" w:eastAsia="Times New Roman" w:hAnsi="Times New Roman" w:cs="Times New Roman"/>
          <w:sz w:val="21"/>
          <w:szCs w:val="21"/>
        </w:rPr>
        <w:t>50%</w:t>
      </w:r>
      <w:r>
        <w:rPr>
          <w:sz w:val="21"/>
          <w:szCs w:val="21"/>
        </w:rPr>
        <w:t>的参赛队被邀请时有拒绝权；后</w:t>
      </w:r>
      <w:r>
        <w:rPr>
          <w:rFonts w:ascii="Times New Roman" w:eastAsia="Times New Roman" w:hAnsi="Times New Roman" w:cs="Times New Roman"/>
          <w:sz w:val="21"/>
          <w:szCs w:val="21"/>
        </w:rPr>
        <w:t>50%</w:t>
      </w:r>
      <w:r>
        <w:rPr>
          <w:sz w:val="21"/>
          <w:szCs w:val="21"/>
        </w:rPr>
        <w:t>的参赛队被邀请时无拒绝权。</w:t>
      </w:r>
      <w:r>
        <w:rPr>
          <w:rFonts w:ascii="Times New Roman" w:eastAsia="Times New Roman" w:hAnsi="Times New Roman" w:cs="Times New Roman"/>
          <w:sz w:val="21"/>
          <w:szCs w:val="21"/>
        </w:rPr>
        <w:t xml:space="preserve"> </w:t>
      </w:r>
    </w:p>
    <w:p w:rsidR="00A41667" w:rsidRDefault="00E268B2">
      <w:pPr>
        <w:widowControl/>
        <w:autoSpaceDE/>
        <w:autoSpaceDN/>
        <w:spacing w:line="259" w:lineRule="auto"/>
        <w:ind w:firstLineChars="200" w:firstLine="440"/>
        <w:rPr>
          <w:sz w:val="21"/>
          <w:szCs w:val="21"/>
        </w:rPr>
      </w:pPr>
      <w:r>
        <w:rPr>
          <w:rFonts w:hint="eastAsia"/>
        </w:rPr>
        <w:t>⑷</w:t>
      </w:r>
      <w:r>
        <w:rPr>
          <w:sz w:val="21"/>
          <w:szCs w:val="21"/>
        </w:rPr>
        <w:t>如果被邀请的参赛队尚未加入某一联队或者还没有拒绝某一主队队长的邀请，那么，它就是有效的参赛队。</w:t>
      </w:r>
      <w:r>
        <w:rPr>
          <w:rFonts w:ascii="Times New Roman" w:eastAsia="Times New Roman" w:hAnsi="Times New Roman" w:cs="Times New Roman"/>
          <w:sz w:val="21"/>
          <w:szCs w:val="21"/>
        </w:rPr>
        <w:t xml:space="preserve"> </w:t>
      </w:r>
    </w:p>
    <w:p w:rsidR="00A41667" w:rsidRDefault="00E268B2">
      <w:pPr>
        <w:ind w:firstLineChars="200" w:firstLine="420"/>
        <w:rPr>
          <w:sz w:val="21"/>
          <w:szCs w:val="21"/>
        </w:rPr>
      </w:pPr>
      <w:r>
        <w:rPr>
          <w:sz w:val="21"/>
          <w:szCs w:val="21"/>
        </w:rPr>
        <w:t>☉</w:t>
      </w:r>
      <w:r>
        <w:rPr>
          <w:sz w:val="21"/>
          <w:szCs w:val="21"/>
        </w:rPr>
        <w:t>如果该队接受某一主队邀请，它就与该主队组成联队。</w:t>
      </w:r>
      <w:r>
        <w:rPr>
          <w:rFonts w:ascii="Times New Roman" w:eastAsia="Times New Roman" w:hAnsi="Times New Roman" w:cs="Times New Roman"/>
          <w:sz w:val="21"/>
          <w:szCs w:val="21"/>
        </w:rPr>
        <w:t xml:space="preserve"> </w:t>
      </w:r>
    </w:p>
    <w:p w:rsidR="00A41667" w:rsidRDefault="00E268B2">
      <w:pPr>
        <w:ind w:left="10" w:right="-25" w:firstLineChars="200" w:firstLine="420"/>
        <w:rPr>
          <w:sz w:val="21"/>
          <w:szCs w:val="21"/>
        </w:rPr>
      </w:pPr>
      <w:r>
        <w:rPr>
          <w:sz w:val="21"/>
          <w:szCs w:val="21"/>
        </w:rPr>
        <w:t>☉</w:t>
      </w:r>
      <w:r>
        <w:rPr>
          <w:sz w:val="21"/>
          <w:szCs w:val="21"/>
        </w:rPr>
        <w:t>如果某一参赛队拒绝了一次邀请，它就不能再被邀请，但当机会到来时，仍然有权作为主队选择他们的联队伙伴。</w:t>
      </w:r>
      <w:r>
        <w:rPr>
          <w:rFonts w:ascii="Times New Roman" w:eastAsia="Times New Roman" w:hAnsi="Times New Roman" w:cs="Times New Roman"/>
          <w:sz w:val="21"/>
          <w:szCs w:val="21"/>
        </w:rPr>
        <w:t xml:space="preserve"> </w:t>
      </w:r>
    </w:p>
    <w:p w:rsidR="00A41667" w:rsidRDefault="00E268B2">
      <w:pPr>
        <w:spacing w:line="354" w:lineRule="auto"/>
        <w:ind w:firstLineChars="200" w:firstLine="420"/>
        <w:rPr>
          <w:sz w:val="21"/>
          <w:szCs w:val="21"/>
        </w:rPr>
      </w:pPr>
      <w:r>
        <w:rPr>
          <w:sz w:val="21"/>
          <w:szCs w:val="21"/>
        </w:rPr>
        <w:t>☉</w:t>
      </w:r>
      <w:r>
        <w:rPr>
          <w:sz w:val="21"/>
          <w:szCs w:val="21"/>
        </w:rPr>
        <w:t>如果被邀请的参赛队拒绝，邀请方的队长必须继续向下一参赛队发出邀请，直到组成了联队。</w:t>
      </w:r>
      <w:r>
        <w:rPr>
          <w:rFonts w:ascii="Times New Roman" w:eastAsia="Times New Roman" w:hAnsi="Times New Roman" w:cs="Times New Roman"/>
          <w:sz w:val="21"/>
          <w:szCs w:val="21"/>
        </w:rPr>
        <w:t xml:space="preserve"> </w:t>
      </w:r>
    </w:p>
    <w:p w:rsidR="00A41667" w:rsidRDefault="00E268B2">
      <w:pPr>
        <w:widowControl/>
        <w:autoSpaceDE/>
        <w:autoSpaceDN/>
        <w:spacing w:line="373" w:lineRule="auto"/>
        <w:ind w:firstLineChars="200" w:firstLine="440"/>
        <w:rPr>
          <w:sz w:val="21"/>
          <w:szCs w:val="21"/>
        </w:rPr>
      </w:pPr>
      <w:r>
        <w:rPr>
          <w:rFonts w:hint="eastAsia"/>
        </w:rPr>
        <w:t>⑴</w:t>
      </w:r>
      <w:r>
        <w:rPr>
          <w:sz w:val="21"/>
          <w:szCs w:val="21"/>
        </w:rPr>
        <w:t>然后，排位次高且尚未加入某一联队的参赛队代表将作为主队队长邀请另一支有效的参赛队与他们合作组成联队。此过程将持续进行，直到参加复赛的所有联队均组成。</w:t>
      </w:r>
      <w:r>
        <w:rPr>
          <w:rFonts w:ascii="Times New Roman" w:eastAsia="Times New Roman" w:hAnsi="Times New Roman" w:cs="Times New Roman"/>
          <w:sz w:val="21"/>
          <w:szCs w:val="21"/>
        </w:rPr>
        <w:t xml:space="preserve"> </w:t>
      </w:r>
    </w:p>
    <w:p w:rsidR="00A41667" w:rsidRDefault="00E268B2">
      <w:pPr>
        <w:widowControl/>
        <w:autoSpaceDE/>
        <w:autoSpaceDN/>
        <w:spacing w:line="259" w:lineRule="auto"/>
        <w:ind w:firstLineChars="200" w:firstLine="440"/>
        <w:rPr>
          <w:sz w:val="21"/>
          <w:szCs w:val="21"/>
        </w:rPr>
      </w:pPr>
      <w:r>
        <w:rPr>
          <w:rFonts w:hint="eastAsia"/>
        </w:rPr>
        <w:t>⑵</w:t>
      </w:r>
      <w:r>
        <w:rPr>
          <w:sz w:val="21"/>
          <w:szCs w:val="21"/>
        </w:rPr>
        <w:t>按照联队产生的顺序，联队将被命名为</w:t>
      </w:r>
      <w:r>
        <w:rPr>
          <w:sz w:val="21"/>
          <w:szCs w:val="21"/>
        </w:rPr>
        <w:t>“</w:t>
      </w:r>
      <w:r>
        <w:rPr>
          <w:sz w:val="21"/>
          <w:szCs w:val="21"/>
        </w:rPr>
        <w:t>联队</w:t>
      </w:r>
      <w:r>
        <w:rPr>
          <w:sz w:val="21"/>
          <w:szCs w:val="21"/>
        </w:rPr>
        <w:t>1”</w:t>
      </w:r>
      <w:r>
        <w:rPr>
          <w:sz w:val="21"/>
          <w:szCs w:val="21"/>
        </w:rPr>
        <w:t>，</w:t>
      </w:r>
      <w:r>
        <w:rPr>
          <w:sz w:val="21"/>
          <w:szCs w:val="21"/>
        </w:rPr>
        <w:t>“</w:t>
      </w:r>
      <w:r>
        <w:rPr>
          <w:sz w:val="21"/>
          <w:szCs w:val="21"/>
        </w:rPr>
        <w:t>联队</w:t>
      </w:r>
      <w:r>
        <w:rPr>
          <w:sz w:val="21"/>
          <w:szCs w:val="21"/>
        </w:rPr>
        <w:t>2”</w:t>
      </w:r>
      <w:r>
        <w:rPr>
          <w:sz w:val="21"/>
          <w:szCs w:val="21"/>
        </w:rPr>
        <w:t>，依此类推。</w:t>
      </w:r>
      <w:r>
        <w:rPr>
          <w:sz w:val="21"/>
          <w:szCs w:val="21"/>
        </w:rPr>
        <w:t xml:space="preserve"> </w:t>
      </w:r>
    </w:p>
    <w:p w:rsidR="00A41667" w:rsidRDefault="00E268B2">
      <w:pPr>
        <w:pStyle w:val="02"/>
        <w:rPr>
          <w:color w:val="auto"/>
        </w:rPr>
      </w:pPr>
      <w:r>
        <w:rPr>
          <w:rFonts w:hint="eastAsia"/>
          <w:color w:val="auto"/>
        </w:rPr>
        <w:t>6</w:t>
      </w:r>
      <w:r>
        <w:rPr>
          <w:color w:val="auto"/>
        </w:rPr>
        <w:t>.8</w:t>
      </w:r>
      <w:r>
        <w:rPr>
          <w:color w:val="auto"/>
        </w:rPr>
        <w:t>淘汰赛</w:t>
      </w:r>
      <w:r>
        <w:rPr>
          <w:rFonts w:ascii="Microsoft YaHei UI" w:eastAsia="Microsoft YaHei UI" w:hAnsi="Microsoft YaHei UI" w:cs="Microsoft YaHei UI"/>
          <w:color w:val="auto"/>
        </w:rPr>
        <w:t xml:space="preserve"> </w:t>
      </w:r>
    </w:p>
    <w:p w:rsidR="00A41667" w:rsidRDefault="00E268B2">
      <w:pPr>
        <w:spacing w:line="376" w:lineRule="auto"/>
        <w:ind w:left="-13" w:firstLine="420"/>
        <w:rPr>
          <w:sz w:val="21"/>
          <w:szCs w:val="21"/>
        </w:rPr>
      </w:pPr>
      <w:r>
        <w:rPr>
          <w:sz w:val="21"/>
          <w:szCs w:val="21"/>
        </w:rPr>
        <w:t>联队选配组成的联队将按淘汰赛对阵图（如图</w:t>
      </w:r>
      <w:r>
        <w:rPr>
          <w:sz w:val="21"/>
          <w:szCs w:val="21"/>
        </w:rPr>
        <w:t xml:space="preserve"> </w:t>
      </w:r>
      <w:r>
        <w:rPr>
          <w:rFonts w:ascii="Times New Roman" w:eastAsia="Times New Roman" w:hAnsi="Times New Roman" w:cs="Times New Roman"/>
          <w:sz w:val="21"/>
          <w:szCs w:val="21"/>
        </w:rPr>
        <w:t xml:space="preserve">6.1 </w:t>
      </w:r>
      <w:r>
        <w:rPr>
          <w:sz w:val="21"/>
          <w:szCs w:val="21"/>
        </w:rPr>
        <w:t>所示）进行比赛，采用三局比赛决出胜负，获得</w:t>
      </w:r>
      <w:r>
        <w:rPr>
          <w:sz w:val="21"/>
          <w:szCs w:val="21"/>
        </w:rPr>
        <w:t>“</w:t>
      </w:r>
      <w:r>
        <w:rPr>
          <w:sz w:val="21"/>
          <w:szCs w:val="21"/>
        </w:rPr>
        <w:t>两胜</w:t>
      </w:r>
      <w:r>
        <w:rPr>
          <w:sz w:val="21"/>
          <w:szCs w:val="21"/>
        </w:rPr>
        <w:t>”</w:t>
      </w:r>
      <w:r>
        <w:rPr>
          <w:sz w:val="21"/>
          <w:szCs w:val="21"/>
        </w:rPr>
        <w:t>或</w:t>
      </w:r>
      <w:r>
        <w:rPr>
          <w:sz w:val="21"/>
          <w:szCs w:val="21"/>
        </w:rPr>
        <w:t>“</w:t>
      </w:r>
      <w:r>
        <w:rPr>
          <w:sz w:val="21"/>
          <w:szCs w:val="21"/>
        </w:rPr>
        <w:t>一胜两平</w:t>
      </w:r>
      <w:r>
        <w:rPr>
          <w:sz w:val="21"/>
          <w:szCs w:val="21"/>
        </w:rPr>
        <w:t>”</w:t>
      </w:r>
      <w:r>
        <w:rPr>
          <w:sz w:val="21"/>
          <w:szCs w:val="21"/>
        </w:rPr>
        <w:t>的联队可晋级下一轮比赛，直至决出冠、亚、季军。若三局比赛出现</w:t>
      </w:r>
      <w:r>
        <w:rPr>
          <w:sz w:val="21"/>
          <w:szCs w:val="21"/>
        </w:rPr>
        <w:t>“</w:t>
      </w:r>
      <w:r>
        <w:rPr>
          <w:sz w:val="21"/>
          <w:szCs w:val="21"/>
        </w:rPr>
        <w:t>一胜一负一平</w:t>
      </w:r>
      <w:r>
        <w:rPr>
          <w:sz w:val="21"/>
          <w:szCs w:val="21"/>
        </w:rPr>
        <w:t>”</w:t>
      </w:r>
      <w:r>
        <w:rPr>
          <w:sz w:val="21"/>
          <w:szCs w:val="21"/>
        </w:rPr>
        <w:t>或</w:t>
      </w:r>
      <w:r>
        <w:rPr>
          <w:sz w:val="21"/>
          <w:szCs w:val="21"/>
        </w:rPr>
        <w:t>“</w:t>
      </w:r>
      <w:r>
        <w:rPr>
          <w:sz w:val="21"/>
          <w:szCs w:val="21"/>
        </w:rPr>
        <w:t>三平</w:t>
      </w:r>
      <w:r>
        <w:rPr>
          <w:sz w:val="21"/>
          <w:szCs w:val="21"/>
        </w:rPr>
        <w:t>”</w:t>
      </w:r>
      <w:r>
        <w:rPr>
          <w:sz w:val="21"/>
          <w:szCs w:val="21"/>
        </w:rPr>
        <w:t>的结果，则按以下顺序决出获胜联队</w:t>
      </w:r>
      <w:r>
        <w:rPr>
          <w:sz w:val="21"/>
          <w:szCs w:val="21"/>
        </w:rPr>
        <w:t xml:space="preserve">: </w:t>
      </w:r>
    </w:p>
    <w:p w:rsidR="00A41667" w:rsidRDefault="00E268B2">
      <w:pPr>
        <w:widowControl/>
        <w:numPr>
          <w:ilvl w:val="0"/>
          <w:numId w:val="1"/>
        </w:numPr>
        <w:autoSpaceDE/>
        <w:autoSpaceDN/>
        <w:spacing w:line="259" w:lineRule="auto"/>
        <w:ind w:hanging="317"/>
        <w:rPr>
          <w:sz w:val="21"/>
          <w:szCs w:val="21"/>
        </w:rPr>
      </w:pPr>
      <w:r>
        <w:rPr>
          <w:sz w:val="21"/>
          <w:szCs w:val="21"/>
        </w:rPr>
        <w:t>三局比赛自动控制阶段总得分高的联队；</w:t>
      </w:r>
      <w:r>
        <w:rPr>
          <w:sz w:val="21"/>
          <w:szCs w:val="21"/>
        </w:rPr>
        <w:t xml:space="preserve"> </w:t>
      </w:r>
    </w:p>
    <w:p w:rsidR="00A41667" w:rsidRDefault="00E268B2">
      <w:pPr>
        <w:widowControl/>
        <w:numPr>
          <w:ilvl w:val="0"/>
          <w:numId w:val="1"/>
        </w:numPr>
        <w:autoSpaceDE/>
        <w:autoSpaceDN/>
        <w:spacing w:line="259" w:lineRule="auto"/>
        <w:ind w:hanging="317"/>
        <w:rPr>
          <w:sz w:val="21"/>
          <w:szCs w:val="21"/>
        </w:rPr>
      </w:pPr>
      <w:r>
        <w:rPr>
          <w:sz w:val="21"/>
          <w:szCs w:val="21"/>
        </w:rPr>
        <w:t>若持平，则三局比赛总得分高的联队；</w:t>
      </w:r>
      <w:r>
        <w:rPr>
          <w:sz w:val="21"/>
          <w:szCs w:val="21"/>
        </w:rPr>
        <w:t xml:space="preserve"> </w:t>
      </w:r>
    </w:p>
    <w:p w:rsidR="00A41667" w:rsidRDefault="00E268B2">
      <w:pPr>
        <w:widowControl/>
        <w:numPr>
          <w:ilvl w:val="0"/>
          <w:numId w:val="1"/>
        </w:numPr>
        <w:autoSpaceDE/>
        <w:autoSpaceDN/>
        <w:spacing w:line="259" w:lineRule="auto"/>
        <w:ind w:hanging="317"/>
        <w:rPr>
          <w:sz w:val="21"/>
          <w:szCs w:val="21"/>
        </w:rPr>
      </w:pPr>
      <w:r>
        <w:rPr>
          <w:sz w:val="21"/>
          <w:szCs w:val="21"/>
        </w:rPr>
        <w:t>若仍持平，则三局比赛的总净胜分高的联队；</w:t>
      </w:r>
      <w:r>
        <w:rPr>
          <w:sz w:val="21"/>
          <w:szCs w:val="21"/>
        </w:rPr>
        <w:t xml:space="preserve"> </w:t>
      </w:r>
    </w:p>
    <w:p w:rsidR="00A41667" w:rsidRDefault="00E268B2">
      <w:pPr>
        <w:widowControl/>
        <w:numPr>
          <w:ilvl w:val="0"/>
          <w:numId w:val="1"/>
        </w:numPr>
        <w:autoSpaceDE/>
        <w:autoSpaceDN/>
        <w:spacing w:line="367" w:lineRule="auto"/>
        <w:ind w:hanging="317"/>
        <w:rPr>
          <w:sz w:val="21"/>
          <w:szCs w:val="21"/>
        </w:rPr>
      </w:pPr>
      <w:r>
        <w:rPr>
          <w:sz w:val="21"/>
          <w:szCs w:val="21"/>
        </w:rPr>
        <w:t>若仍持平，则两联队加赛一局。得分高者获胜，得分相同则自动控制阶段得分高者获胜，自动控制阶段得分仍相同则继续加赛。</w:t>
      </w:r>
      <w:r>
        <w:rPr>
          <w:sz w:val="21"/>
          <w:szCs w:val="21"/>
        </w:rPr>
        <w:t xml:space="preserve"> </w:t>
      </w:r>
    </w:p>
    <w:p w:rsidR="00A41667" w:rsidRDefault="00E268B2">
      <w:pPr>
        <w:widowControl/>
        <w:numPr>
          <w:ilvl w:val="0"/>
          <w:numId w:val="1"/>
        </w:numPr>
        <w:autoSpaceDE/>
        <w:autoSpaceDN/>
        <w:spacing w:line="367" w:lineRule="auto"/>
        <w:ind w:hanging="317"/>
        <w:rPr>
          <w:sz w:val="21"/>
          <w:szCs w:val="21"/>
        </w:rPr>
      </w:pPr>
      <w:r>
        <w:rPr>
          <w:rFonts w:hint="eastAsia"/>
          <w:b/>
          <w:bCs/>
          <w:sz w:val="24"/>
        </w:rPr>
        <w:t>最后</w:t>
      </w:r>
      <w:r>
        <w:rPr>
          <w:b/>
          <w:bCs/>
          <w:sz w:val="24"/>
        </w:rPr>
        <w:t>冠军</w:t>
      </w:r>
      <w:r>
        <w:rPr>
          <w:rFonts w:hint="eastAsia"/>
          <w:b/>
          <w:bCs/>
          <w:sz w:val="24"/>
        </w:rPr>
        <w:t>联队内部采取一对一决出第一名</w:t>
      </w:r>
      <w:r>
        <w:rPr>
          <w:b/>
          <w:bCs/>
          <w:sz w:val="24"/>
        </w:rPr>
        <w:t>。</w:t>
      </w:r>
    </w:p>
    <w:p w:rsidR="00A41667" w:rsidRDefault="00A41667">
      <w:pPr>
        <w:spacing w:after="2879"/>
        <w:ind w:right="1523"/>
      </w:pPr>
    </w:p>
    <w:p w:rsidR="00A41667" w:rsidRDefault="00E268B2">
      <w:pPr>
        <w:spacing w:after="2879"/>
        <w:ind w:left="554" w:right="1523"/>
      </w:pPr>
      <w:r>
        <w:rPr>
          <w:noProof/>
          <w:lang w:val="en-US" w:bidi="ar-SA"/>
        </w:rPr>
        <w:lastRenderedPageBreak/>
        <w:drawing>
          <wp:anchor distT="0" distB="0" distL="114300" distR="114300" simplePos="0" relativeHeight="1024" behindDoc="0" locked="0" layoutInCell="1" allowOverlap="1">
            <wp:simplePos x="0" y="0"/>
            <wp:positionH relativeFrom="column">
              <wp:posOffset>592455</wp:posOffset>
            </wp:positionH>
            <wp:positionV relativeFrom="paragraph">
              <wp:posOffset>-190500</wp:posOffset>
            </wp:positionV>
            <wp:extent cx="4655820" cy="4829810"/>
            <wp:effectExtent l="0" t="0" r="11430" b="8890"/>
            <wp:wrapSquare wrapText="bothSides"/>
            <wp:docPr id="1044" name="Picture 4412"/>
            <wp:cNvGraphicFramePr/>
            <a:graphic xmlns:a="http://schemas.openxmlformats.org/drawingml/2006/main">
              <a:graphicData uri="http://schemas.openxmlformats.org/drawingml/2006/picture">
                <pic:pic xmlns:pic="http://schemas.openxmlformats.org/drawingml/2006/picture">
                  <pic:nvPicPr>
                    <pic:cNvPr id="1044" name="Picture 4412"/>
                    <pic:cNvPicPr/>
                  </pic:nvPicPr>
                  <pic:blipFill>
                    <a:blip r:embed="rId27" cstate="print"/>
                    <a:srcRect/>
                    <a:stretch>
                      <a:fillRect/>
                    </a:stretch>
                  </pic:blipFill>
                  <pic:spPr>
                    <a:xfrm>
                      <a:off x="0" y="0"/>
                      <a:ext cx="4655820" cy="4829810"/>
                    </a:xfrm>
                    <a:prstGeom prst="rect">
                      <a:avLst/>
                    </a:prstGeom>
                  </pic:spPr>
                </pic:pic>
              </a:graphicData>
            </a:graphic>
          </wp:anchor>
        </w:drawing>
      </w:r>
    </w:p>
    <w:p w:rsidR="00A41667" w:rsidRDefault="00A41667">
      <w:pPr>
        <w:spacing w:after="2879"/>
        <w:ind w:right="1523"/>
      </w:pPr>
    </w:p>
    <w:p w:rsidR="00A41667" w:rsidRDefault="00E268B2">
      <w:pPr>
        <w:spacing w:after="183" w:line="265" w:lineRule="auto"/>
        <w:ind w:left="370" w:right="471" w:hanging="10"/>
        <w:jc w:val="center"/>
        <w:rPr>
          <w:sz w:val="18"/>
        </w:rPr>
      </w:pPr>
      <w:r>
        <w:rPr>
          <w:sz w:val="18"/>
        </w:rPr>
        <w:t>图</w:t>
      </w:r>
      <w:r>
        <w:rPr>
          <w:sz w:val="18"/>
        </w:rPr>
        <w:t xml:space="preserve"> </w:t>
      </w:r>
    </w:p>
    <w:p w:rsidR="00A41667" w:rsidRDefault="00A41667">
      <w:pPr>
        <w:spacing w:after="183" w:line="265" w:lineRule="auto"/>
        <w:ind w:left="370" w:right="471" w:hanging="10"/>
        <w:jc w:val="center"/>
        <w:rPr>
          <w:sz w:val="18"/>
        </w:rPr>
      </w:pPr>
    </w:p>
    <w:p w:rsidR="00A41667" w:rsidRDefault="00E268B2">
      <w:pPr>
        <w:spacing w:after="183" w:line="265" w:lineRule="auto"/>
        <w:ind w:left="370" w:right="471" w:hanging="10"/>
        <w:jc w:val="center"/>
        <w:rPr>
          <w:sz w:val="18"/>
        </w:rPr>
      </w:pPr>
      <w:r>
        <w:rPr>
          <w:rFonts w:ascii="Times New Roman" w:eastAsia="Times New Roman" w:hAnsi="Times New Roman" w:cs="Times New Roman"/>
          <w:b/>
          <w:sz w:val="18"/>
        </w:rPr>
        <w:t>6.1</w:t>
      </w:r>
      <w:r>
        <w:rPr>
          <w:sz w:val="18"/>
        </w:rPr>
        <w:t xml:space="preserve"> </w:t>
      </w:r>
      <w:r>
        <w:rPr>
          <w:sz w:val="18"/>
        </w:rPr>
        <w:t>淘汰赛对阵图</w:t>
      </w:r>
      <w:r>
        <w:rPr>
          <w:sz w:val="18"/>
        </w:rPr>
        <w:t xml:space="preserve"> </w:t>
      </w:r>
    </w:p>
    <w:p w:rsidR="00A41667" w:rsidRDefault="00A41667">
      <w:pPr>
        <w:spacing w:after="183" w:line="265" w:lineRule="auto"/>
        <w:ind w:left="370" w:right="471" w:hanging="10"/>
        <w:jc w:val="center"/>
        <w:rPr>
          <w:sz w:val="18"/>
        </w:rPr>
      </w:pPr>
    </w:p>
    <w:p w:rsidR="00A41667" w:rsidRDefault="00A41667">
      <w:pPr>
        <w:spacing w:after="183" w:line="265" w:lineRule="auto"/>
        <w:ind w:left="370" w:right="471" w:hanging="10"/>
        <w:jc w:val="center"/>
        <w:rPr>
          <w:sz w:val="18"/>
        </w:rPr>
      </w:pPr>
    </w:p>
    <w:p w:rsidR="00A41667" w:rsidRDefault="00A41667">
      <w:pPr>
        <w:pStyle w:val="05"/>
        <w:ind w:firstLine="420"/>
        <w:rPr>
          <w:color w:val="auto"/>
        </w:rPr>
      </w:pPr>
    </w:p>
    <w:p w:rsidR="00A41667" w:rsidRDefault="00A41667">
      <w:pPr>
        <w:pStyle w:val="05"/>
        <w:ind w:firstLine="420"/>
        <w:rPr>
          <w:color w:val="auto"/>
        </w:rPr>
        <w:sectPr w:rsidR="00A41667">
          <w:footerReference w:type="default" r:id="rId28"/>
          <w:pgSz w:w="11910" w:h="16840"/>
          <w:pgMar w:top="1440" w:right="1077" w:bottom="1440" w:left="1077" w:header="851" w:footer="992" w:gutter="0"/>
          <w:cols w:space="720"/>
          <w:docGrid w:type="lines" w:linePitch="317"/>
        </w:sectPr>
      </w:pPr>
    </w:p>
    <w:p w:rsidR="00A41667" w:rsidRDefault="00E268B2">
      <w:pPr>
        <w:pStyle w:val="01"/>
        <w:spacing w:before="158" w:after="158"/>
        <w:rPr>
          <w:color w:val="auto"/>
        </w:rPr>
      </w:pPr>
      <w:bookmarkStart w:id="37" w:name="_Toc66889993"/>
      <w:r>
        <w:rPr>
          <w:color w:val="auto"/>
        </w:rPr>
        <w:lastRenderedPageBreak/>
        <w:t>附录</w:t>
      </w:r>
      <w:r>
        <w:rPr>
          <w:color w:val="auto"/>
        </w:rPr>
        <w:t xml:space="preserve"> 1</w:t>
      </w:r>
      <w:r>
        <w:rPr>
          <w:color w:val="auto"/>
        </w:rPr>
        <w:t>：关于工程笔记</w:t>
      </w:r>
      <w:bookmarkEnd w:id="37"/>
    </w:p>
    <w:p w:rsidR="00A41667" w:rsidRDefault="00E268B2">
      <w:pPr>
        <w:pStyle w:val="05"/>
        <w:spacing w:line="324" w:lineRule="auto"/>
        <w:ind w:firstLine="422"/>
        <w:rPr>
          <w:rFonts w:eastAsia="Times New Roman"/>
          <w:color w:val="auto"/>
        </w:rPr>
      </w:pPr>
      <w:r>
        <w:rPr>
          <w:rFonts w:eastAsia="Times New Roman"/>
          <w:b/>
          <w:color w:val="auto"/>
        </w:rPr>
        <w:t>1.</w:t>
      </w:r>
      <w:r>
        <w:rPr>
          <w:b/>
          <w:color w:val="auto"/>
        </w:rPr>
        <w:t>工程笔记的价值：</w:t>
      </w:r>
      <w:r>
        <w:rPr>
          <w:color w:val="auto"/>
        </w:rPr>
        <w:t>工程笔记的价值在于帮助建立团队档案，更好地梳理和记录整个学习过程。从原型设计，制作搭建，到调试完成，工程笔记里将会记录机器人的每一次改进，见证参赛队的每一次进步。因此，工程笔记的记录应当贯穿于整个准备比赛的过程，而不是在赛前一次性书写完成。</w:t>
      </w:r>
    </w:p>
    <w:p w:rsidR="00A41667" w:rsidRDefault="00E268B2">
      <w:pPr>
        <w:pStyle w:val="05"/>
        <w:spacing w:line="324" w:lineRule="auto"/>
        <w:ind w:firstLine="422"/>
        <w:rPr>
          <w:rFonts w:eastAsia="Times New Roman"/>
          <w:color w:val="auto"/>
        </w:rPr>
      </w:pPr>
      <w:r>
        <w:rPr>
          <w:rFonts w:eastAsia="Times New Roman"/>
          <w:b/>
          <w:color w:val="auto"/>
        </w:rPr>
        <w:t>2.</w:t>
      </w:r>
      <w:r>
        <w:rPr>
          <w:b/>
          <w:color w:val="auto"/>
        </w:rPr>
        <w:t>提交工程笔记</w:t>
      </w:r>
      <w:r>
        <w:rPr>
          <w:color w:val="auto"/>
        </w:rPr>
        <w:t>：参赛队可以采用在线文档或者手写的方式。无论采用何种方式，每支参赛队都必须在现场向评审人员提交</w:t>
      </w:r>
      <w:r>
        <w:rPr>
          <w:color w:val="auto"/>
        </w:rPr>
        <w:t xml:space="preserve"> 1 </w:t>
      </w:r>
      <w:r>
        <w:rPr>
          <w:color w:val="auto"/>
        </w:rPr>
        <w:t>份纸质版（手写版）工程笔记。</w:t>
      </w:r>
    </w:p>
    <w:p w:rsidR="00A41667" w:rsidRDefault="00E268B2">
      <w:pPr>
        <w:pStyle w:val="05"/>
        <w:spacing w:line="324" w:lineRule="auto"/>
        <w:ind w:firstLine="422"/>
        <w:rPr>
          <w:rFonts w:eastAsia="Times New Roman"/>
          <w:b/>
          <w:color w:val="auto"/>
        </w:rPr>
      </w:pPr>
      <w:r>
        <w:rPr>
          <w:rFonts w:eastAsia="Times New Roman"/>
          <w:b/>
          <w:color w:val="auto"/>
        </w:rPr>
        <w:t>3.</w:t>
      </w:r>
      <w:r>
        <w:rPr>
          <w:b/>
          <w:color w:val="auto"/>
        </w:rPr>
        <w:t>工程笔记书写建议封面基本要求</w:t>
      </w:r>
    </w:p>
    <w:p w:rsidR="00A41667" w:rsidRDefault="00E268B2">
      <w:pPr>
        <w:pStyle w:val="05"/>
        <w:spacing w:line="324" w:lineRule="auto"/>
        <w:ind w:firstLine="420"/>
        <w:rPr>
          <w:color w:val="auto"/>
        </w:rPr>
      </w:pPr>
      <w:r>
        <w:rPr>
          <w:color w:val="auto"/>
        </w:rPr>
        <w:t>必须标注：</w:t>
      </w:r>
      <w:r>
        <w:rPr>
          <w:rFonts w:hint="eastAsia"/>
          <w:color w:val="auto"/>
          <w:lang w:val="en-US"/>
        </w:rPr>
        <w:t>参赛学校，</w:t>
      </w:r>
      <w:r>
        <w:rPr>
          <w:color w:val="auto"/>
        </w:rPr>
        <w:t>参赛队名称，参赛队编号，赛项名称</w:t>
      </w:r>
      <w:r>
        <w:rPr>
          <w:rFonts w:hint="eastAsia"/>
          <w:color w:val="auto"/>
        </w:rPr>
        <w:t>，</w:t>
      </w:r>
      <w:r>
        <w:rPr>
          <w:rFonts w:hint="eastAsia"/>
          <w:color w:val="auto"/>
          <w:lang w:val="en-US"/>
        </w:rPr>
        <w:t>参赛队员，联系方式</w:t>
      </w:r>
    </w:p>
    <w:p w:rsidR="00A41667" w:rsidRDefault="00E268B2">
      <w:pPr>
        <w:pStyle w:val="05"/>
        <w:spacing w:line="324" w:lineRule="auto"/>
        <w:ind w:firstLine="422"/>
        <w:rPr>
          <w:b/>
          <w:color w:val="auto"/>
        </w:rPr>
      </w:pPr>
      <w:r>
        <w:rPr>
          <w:b/>
          <w:color w:val="auto"/>
        </w:rPr>
        <w:t>内容基本要求</w:t>
      </w:r>
    </w:p>
    <w:p w:rsidR="00A41667" w:rsidRDefault="00E268B2">
      <w:pPr>
        <w:pStyle w:val="05"/>
        <w:spacing w:line="324" w:lineRule="auto"/>
        <w:ind w:firstLine="420"/>
        <w:rPr>
          <w:color w:val="auto"/>
        </w:rPr>
      </w:pPr>
      <w:r>
        <w:rPr>
          <w:rFonts w:ascii="宋体" w:hAnsi="宋体" w:cs="宋体" w:hint="eastAsia"/>
          <w:color w:val="auto"/>
        </w:rPr>
        <w:t>⑴</w:t>
      </w:r>
      <w:r>
        <w:rPr>
          <w:color w:val="auto"/>
        </w:rPr>
        <w:t xml:space="preserve"> </w:t>
      </w:r>
      <w:r>
        <w:rPr>
          <w:color w:val="auto"/>
        </w:rPr>
        <w:t>目录指引</w:t>
      </w:r>
    </w:p>
    <w:p w:rsidR="00A41667" w:rsidRDefault="00E268B2">
      <w:pPr>
        <w:pStyle w:val="05"/>
        <w:spacing w:line="324" w:lineRule="auto"/>
        <w:ind w:firstLine="420"/>
        <w:rPr>
          <w:color w:val="auto"/>
        </w:rPr>
      </w:pPr>
      <w:r>
        <w:rPr>
          <w:color w:val="auto"/>
        </w:rPr>
        <w:t>便于评审裁判翻阅，快速找到对应内容。</w:t>
      </w:r>
    </w:p>
    <w:p w:rsidR="00A41667" w:rsidRDefault="00E268B2">
      <w:pPr>
        <w:pStyle w:val="05"/>
        <w:spacing w:line="324" w:lineRule="auto"/>
        <w:ind w:firstLine="420"/>
        <w:rPr>
          <w:color w:val="auto"/>
        </w:rPr>
      </w:pPr>
      <w:r>
        <w:rPr>
          <w:rFonts w:ascii="宋体" w:hAnsi="宋体" w:cs="宋体" w:hint="eastAsia"/>
          <w:color w:val="auto"/>
        </w:rPr>
        <w:t>⑵</w:t>
      </w:r>
      <w:r>
        <w:rPr>
          <w:color w:val="auto"/>
        </w:rPr>
        <w:t xml:space="preserve"> </w:t>
      </w:r>
      <w:r>
        <w:rPr>
          <w:color w:val="auto"/>
        </w:rPr>
        <w:t>过程记录（必填）</w:t>
      </w:r>
    </w:p>
    <w:p w:rsidR="00A41667" w:rsidRDefault="00E268B2">
      <w:pPr>
        <w:pStyle w:val="05"/>
        <w:spacing w:line="324" w:lineRule="auto"/>
        <w:ind w:firstLine="420"/>
        <w:rPr>
          <w:b/>
          <w:color w:val="auto"/>
        </w:rPr>
      </w:pPr>
      <w:r>
        <w:rPr>
          <w:color w:val="auto"/>
        </w:rPr>
        <w:t>从原型设计，制作搭建，到调试完成，机器人的每一次改进都应当记录在册。</w:t>
      </w:r>
      <w:r>
        <w:rPr>
          <w:b/>
          <w:color w:val="auto"/>
        </w:rPr>
        <w:t>保留所有的手稿，设计图纸，计算过程，电路图等，以图片的形式插入工程笔记中。</w:t>
      </w:r>
    </w:p>
    <w:p w:rsidR="00A41667" w:rsidRDefault="00E268B2">
      <w:pPr>
        <w:pStyle w:val="05"/>
        <w:spacing w:line="324" w:lineRule="auto"/>
        <w:ind w:firstLine="420"/>
        <w:rPr>
          <w:color w:val="auto"/>
        </w:rPr>
      </w:pPr>
      <w:r>
        <w:rPr>
          <w:rFonts w:eastAsia="Times New Roman"/>
          <w:color w:val="auto"/>
        </w:rPr>
        <w:t>a.</w:t>
      </w:r>
      <w:r>
        <w:rPr>
          <w:rFonts w:eastAsia="Times New Roman"/>
          <w:color w:val="auto"/>
        </w:rPr>
        <w:tab/>
      </w:r>
      <w:r>
        <w:rPr>
          <w:color w:val="auto"/>
        </w:rPr>
        <w:t>制作进度规划表</w:t>
      </w:r>
    </w:p>
    <w:p w:rsidR="00A41667" w:rsidRDefault="00E268B2">
      <w:pPr>
        <w:pStyle w:val="05"/>
        <w:spacing w:line="324" w:lineRule="auto"/>
        <w:ind w:firstLine="420"/>
        <w:rPr>
          <w:color w:val="auto"/>
        </w:rPr>
      </w:pPr>
      <w:r>
        <w:rPr>
          <w:rFonts w:eastAsia="Times New Roman"/>
          <w:color w:val="auto"/>
        </w:rPr>
        <w:t>b.</w:t>
      </w:r>
      <w:r>
        <w:rPr>
          <w:rFonts w:eastAsia="Times New Roman"/>
          <w:color w:val="auto"/>
        </w:rPr>
        <w:tab/>
      </w:r>
      <w:r>
        <w:rPr>
          <w:color w:val="auto"/>
        </w:rPr>
        <w:t>设计灵感</w:t>
      </w:r>
      <w:r>
        <w:rPr>
          <w:rFonts w:eastAsia="Times New Roman"/>
          <w:color w:val="auto"/>
        </w:rPr>
        <w:t>/</w:t>
      </w:r>
      <w:r>
        <w:rPr>
          <w:color w:val="auto"/>
        </w:rPr>
        <w:t>草图</w:t>
      </w:r>
    </w:p>
    <w:p w:rsidR="00A41667" w:rsidRDefault="00E268B2">
      <w:pPr>
        <w:pStyle w:val="05"/>
        <w:spacing w:line="324" w:lineRule="auto"/>
        <w:ind w:firstLine="420"/>
        <w:rPr>
          <w:color w:val="auto"/>
        </w:rPr>
      </w:pPr>
      <w:r>
        <w:rPr>
          <w:rFonts w:eastAsia="Times New Roman"/>
          <w:color w:val="auto"/>
        </w:rPr>
        <w:t>c.</w:t>
      </w:r>
      <w:r>
        <w:rPr>
          <w:rFonts w:eastAsia="Times New Roman"/>
          <w:color w:val="auto"/>
        </w:rPr>
        <w:tab/>
      </w:r>
      <w:r>
        <w:rPr>
          <w:color w:val="auto"/>
        </w:rPr>
        <w:t>技术原理（可以分解为各部分装置进行说明）</w:t>
      </w:r>
    </w:p>
    <w:p w:rsidR="00A41667" w:rsidRDefault="00E268B2">
      <w:pPr>
        <w:pStyle w:val="05"/>
        <w:spacing w:line="324" w:lineRule="auto"/>
        <w:ind w:firstLine="420"/>
        <w:rPr>
          <w:color w:val="auto"/>
        </w:rPr>
      </w:pPr>
      <w:r>
        <w:rPr>
          <w:rFonts w:eastAsia="Times New Roman"/>
          <w:color w:val="auto"/>
        </w:rPr>
        <w:t>d.</w:t>
      </w:r>
      <w:r>
        <w:rPr>
          <w:rFonts w:eastAsia="Times New Roman"/>
          <w:color w:val="auto"/>
        </w:rPr>
        <w:tab/>
      </w:r>
      <w:r>
        <w:rPr>
          <w:color w:val="auto"/>
        </w:rPr>
        <w:t>制作步骤（附清晰图片）</w:t>
      </w:r>
    </w:p>
    <w:p w:rsidR="00A41667" w:rsidRDefault="00E268B2">
      <w:pPr>
        <w:pStyle w:val="05"/>
        <w:spacing w:line="324" w:lineRule="auto"/>
        <w:ind w:firstLine="422"/>
        <w:rPr>
          <w:color w:val="auto"/>
        </w:rPr>
      </w:pPr>
      <w:r>
        <w:rPr>
          <w:rFonts w:eastAsia="Times New Roman"/>
          <w:b/>
          <w:color w:val="auto"/>
        </w:rPr>
        <w:t>e.</w:t>
      </w:r>
      <w:r>
        <w:rPr>
          <w:rFonts w:eastAsia="Times New Roman"/>
          <w:b/>
          <w:color w:val="auto"/>
        </w:rPr>
        <w:tab/>
      </w:r>
      <w:r>
        <w:rPr>
          <w:color w:val="auto"/>
        </w:rPr>
        <w:t>遇到的问题及解决方法</w:t>
      </w:r>
    </w:p>
    <w:p w:rsidR="00A41667" w:rsidRDefault="00E268B2">
      <w:pPr>
        <w:pStyle w:val="05"/>
        <w:spacing w:line="324" w:lineRule="auto"/>
        <w:ind w:firstLine="422"/>
        <w:rPr>
          <w:b/>
          <w:color w:val="auto"/>
        </w:rPr>
      </w:pPr>
      <w:r>
        <w:rPr>
          <w:b/>
          <w:color w:val="auto"/>
        </w:rPr>
        <w:t>问题举例：</w:t>
      </w:r>
    </w:p>
    <w:p w:rsidR="00A41667" w:rsidRDefault="00E268B2">
      <w:pPr>
        <w:pStyle w:val="05"/>
        <w:spacing w:line="324" w:lineRule="auto"/>
        <w:ind w:firstLine="420"/>
        <w:rPr>
          <w:color w:val="auto"/>
        </w:rPr>
      </w:pPr>
      <w:r>
        <w:rPr>
          <w:rFonts w:eastAsia="Times New Roman"/>
          <w:color w:val="auto"/>
        </w:rPr>
        <w:t>a.</w:t>
      </w:r>
      <w:r>
        <w:rPr>
          <w:rFonts w:eastAsia="Times New Roman"/>
          <w:color w:val="auto"/>
        </w:rPr>
        <w:tab/>
      </w:r>
      <w:r>
        <w:rPr>
          <w:color w:val="auto"/>
        </w:rPr>
        <w:t>遇到了哪些失败？失败的原因是什么？最后是如何解决的？</w:t>
      </w:r>
    </w:p>
    <w:p w:rsidR="00A41667" w:rsidRDefault="00E268B2">
      <w:pPr>
        <w:pStyle w:val="05"/>
        <w:spacing w:line="324" w:lineRule="auto"/>
        <w:ind w:firstLine="420"/>
        <w:rPr>
          <w:color w:val="auto"/>
        </w:rPr>
      </w:pPr>
      <w:r>
        <w:rPr>
          <w:rFonts w:eastAsia="Times New Roman"/>
          <w:color w:val="auto"/>
        </w:rPr>
        <w:t>b.</w:t>
      </w:r>
      <w:r>
        <w:rPr>
          <w:rFonts w:eastAsia="Times New Roman"/>
          <w:color w:val="auto"/>
        </w:rPr>
        <w:tab/>
      </w:r>
      <w:r>
        <w:rPr>
          <w:color w:val="auto"/>
        </w:rPr>
        <w:t>你们在机器人的功能方面做了哪些努力？实现了哪些优化？</w:t>
      </w:r>
    </w:p>
    <w:p w:rsidR="00A41667" w:rsidRDefault="00E268B2">
      <w:pPr>
        <w:pStyle w:val="05"/>
        <w:spacing w:line="324" w:lineRule="auto"/>
        <w:ind w:firstLine="420"/>
        <w:rPr>
          <w:color w:val="auto"/>
        </w:rPr>
      </w:pPr>
      <w:r>
        <w:rPr>
          <w:rFonts w:eastAsia="Times New Roman"/>
          <w:color w:val="auto"/>
        </w:rPr>
        <w:t>c.</w:t>
      </w:r>
      <w:r>
        <w:rPr>
          <w:rFonts w:eastAsia="Times New Roman"/>
          <w:color w:val="auto"/>
        </w:rPr>
        <w:tab/>
      </w:r>
      <w:r>
        <w:rPr>
          <w:color w:val="auto"/>
        </w:rPr>
        <w:t>你们的项目规划进度表是否如期进行？出现了哪些意外或延期？如何补救？</w:t>
      </w:r>
    </w:p>
    <w:p w:rsidR="00A41667" w:rsidRDefault="00E268B2">
      <w:pPr>
        <w:pStyle w:val="05"/>
        <w:spacing w:line="324" w:lineRule="auto"/>
        <w:ind w:firstLine="420"/>
        <w:rPr>
          <w:color w:val="auto"/>
        </w:rPr>
      </w:pPr>
      <w:r>
        <w:rPr>
          <w:rFonts w:eastAsia="Times New Roman"/>
          <w:color w:val="auto"/>
        </w:rPr>
        <w:t>d.</w:t>
      </w:r>
      <w:r>
        <w:rPr>
          <w:rFonts w:eastAsia="Times New Roman"/>
          <w:color w:val="auto"/>
        </w:rPr>
        <w:tab/>
      </w:r>
      <w:r>
        <w:rPr>
          <w:color w:val="auto"/>
        </w:rPr>
        <w:t>队员之间是否起过争执，最后是如何解决的？</w:t>
      </w:r>
    </w:p>
    <w:p w:rsidR="00A41667" w:rsidRDefault="00E268B2">
      <w:pPr>
        <w:pStyle w:val="05"/>
        <w:spacing w:line="324" w:lineRule="auto"/>
        <w:ind w:firstLine="420"/>
        <w:rPr>
          <w:color w:val="auto"/>
        </w:rPr>
      </w:pPr>
      <w:r>
        <w:rPr>
          <w:rFonts w:ascii="宋体" w:hAnsi="宋体" w:cs="宋体" w:hint="eastAsia"/>
          <w:color w:val="auto"/>
        </w:rPr>
        <w:t>⑶</w:t>
      </w:r>
      <w:r>
        <w:rPr>
          <w:color w:val="auto"/>
        </w:rPr>
        <w:t xml:space="preserve"> </w:t>
      </w:r>
      <w:r>
        <w:rPr>
          <w:color w:val="auto"/>
        </w:rPr>
        <w:t>作品总结</w:t>
      </w:r>
    </w:p>
    <w:p w:rsidR="00A41667" w:rsidRDefault="00E268B2">
      <w:pPr>
        <w:pStyle w:val="05"/>
        <w:spacing w:line="324" w:lineRule="auto"/>
        <w:ind w:firstLine="420"/>
        <w:rPr>
          <w:color w:val="auto"/>
        </w:rPr>
      </w:pPr>
      <w:r>
        <w:rPr>
          <w:rFonts w:eastAsia="Times New Roman"/>
          <w:color w:val="auto"/>
        </w:rPr>
        <w:t>a.</w:t>
      </w:r>
      <w:r>
        <w:rPr>
          <w:rFonts w:eastAsia="Times New Roman"/>
          <w:color w:val="auto"/>
        </w:rPr>
        <w:tab/>
      </w:r>
      <w:r>
        <w:rPr>
          <w:color w:val="auto"/>
        </w:rPr>
        <w:t>作品结构与功能（可配合图片与文字）</w:t>
      </w:r>
    </w:p>
    <w:p w:rsidR="00A41667" w:rsidRDefault="00E268B2">
      <w:pPr>
        <w:pStyle w:val="05"/>
        <w:spacing w:line="324" w:lineRule="auto"/>
        <w:ind w:firstLine="420"/>
        <w:rPr>
          <w:color w:val="auto"/>
        </w:rPr>
      </w:pPr>
      <w:r>
        <w:rPr>
          <w:rFonts w:eastAsia="Times New Roman"/>
          <w:color w:val="auto"/>
        </w:rPr>
        <w:t>b.</w:t>
      </w:r>
      <w:r>
        <w:rPr>
          <w:rFonts w:eastAsia="Times New Roman"/>
          <w:color w:val="auto"/>
        </w:rPr>
        <w:tab/>
      </w:r>
      <w:r>
        <w:rPr>
          <w:color w:val="auto"/>
        </w:rPr>
        <w:t>作品技术创新点</w:t>
      </w:r>
    </w:p>
    <w:p w:rsidR="00A41667" w:rsidRDefault="00E268B2">
      <w:pPr>
        <w:pStyle w:val="05"/>
        <w:spacing w:line="324" w:lineRule="auto"/>
        <w:ind w:firstLine="420"/>
        <w:rPr>
          <w:color w:val="auto"/>
        </w:rPr>
      </w:pPr>
      <w:r>
        <w:rPr>
          <w:rFonts w:eastAsia="Times New Roman"/>
          <w:color w:val="auto"/>
        </w:rPr>
        <w:t>c.</w:t>
      </w:r>
      <w:r>
        <w:rPr>
          <w:rFonts w:eastAsia="Times New Roman"/>
          <w:color w:val="auto"/>
        </w:rPr>
        <w:tab/>
      </w:r>
      <w:r>
        <w:rPr>
          <w:color w:val="auto"/>
        </w:rPr>
        <w:t>竞赛策略（针对得分与防守采取的策略选择）</w:t>
      </w:r>
    </w:p>
    <w:p w:rsidR="00A41667" w:rsidRDefault="00E268B2">
      <w:pPr>
        <w:pStyle w:val="05"/>
        <w:spacing w:line="324" w:lineRule="auto"/>
        <w:ind w:firstLine="420"/>
        <w:rPr>
          <w:color w:val="auto"/>
        </w:rPr>
      </w:pPr>
      <w:r>
        <w:rPr>
          <w:rFonts w:ascii="宋体" w:hAnsi="宋体" w:cs="宋体" w:hint="eastAsia"/>
          <w:color w:val="auto"/>
        </w:rPr>
        <w:t>⑷</w:t>
      </w:r>
      <w:r>
        <w:rPr>
          <w:color w:val="auto"/>
        </w:rPr>
        <w:t xml:space="preserve"> </w:t>
      </w:r>
      <w:r>
        <w:rPr>
          <w:color w:val="auto"/>
        </w:rPr>
        <w:t>团队介绍</w:t>
      </w:r>
    </w:p>
    <w:p w:rsidR="00A41667" w:rsidRDefault="00E268B2">
      <w:pPr>
        <w:pStyle w:val="05"/>
        <w:spacing w:line="324" w:lineRule="auto"/>
        <w:ind w:firstLine="420"/>
        <w:rPr>
          <w:color w:val="auto"/>
        </w:rPr>
      </w:pPr>
      <w:r>
        <w:rPr>
          <w:rFonts w:eastAsia="Times New Roman"/>
          <w:color w:val="auto"/>
        </w:rPr>
        <w:t>a.</w:t>
      </w:r>
      <w:r>
        <w:rPr>
          <w:rFonts w:eastAsia="Times New Roman"/>
          <w:color w:val="auto"/>
        </w:rPr>
        <w:tab/>
      </w:r>
      <w:r>
        <w:rPr>
          <w:color w:val="auto"/>
        </w:rPr>
        <w:t>团队队员与分工</w:t>
      </w:r>
    </w:p>
    <w:p w:rsidR="00A41667" w:rsidRDefault="00E268B2">
      <w:pPr>
        <w:pStyle w:val="05"/>
        <w:spacing w:line="324" w:lineRule="auto"/>
        <w:ind w:firstLine="420"/>
        <w:rPr>
          <w:color w:val="auto"/>
        </w:rPr>
      </w:pPr>
      <w:r>
        <w:rPr>
          <w:rFonts w:eastAsia="Times New Roman"/>
          <w:color w:val="auto"/>
        </w:rPr>
        <w:t>b.</w:t>
      </w:r>
      <w:r>
        <w:rPr>
          <w:rFonts w:eastAsia="Times New Roman"/>
          <w:color w:val="auto"/>
        </w:rPr>
        <w:tab/>
      </w:r>
      <w:r>
        <w:rPr>
          <w:color w:val="auto"/>
        </w:rPr>
        <w:t>团队文化（</w:t>
      </w:r>
      <w:r>
        <w:rPr>
          <w:color w:val="auto"/>
        </w:rPr>
        <w:t>Logo</w:t>
      </w:r>
      <w:r>
        <w:rPr>
          <w:color w:val="auto"/>
        </w:rPr>
        <w:t>，队旗，口号，文化衫等等）</w:t>
      </w:r>
    </w:p>
    <w:p w:rsidR="00A41667" w:rsidRDefault="00E268B2">
      <w:pPr>
        <w:pStyle w:val="05"/>
        <w:spacing w:line="324" w:lineRule="auto"/>
        <w:ind w:firstLine="420"/>
        <w:rPr>
          <w:color w:val="auto"/>
        </w:rPr>
      </w:pPr>
      <w:r>
        <w:rPr>
          <w:rFonts w:eastAsia="Times New Roman"/>
          <w:color w:val="auto"/>
        </w:rPr>
        <w:t>c.</w:t>
      </w:r>
      <w:r>
        <w:rPr>
          <w:rFonts w:eastAsia="Times New Roman"/>
          <w:color w:val="auto"/>
        </w:rPr>
        <w:tab/>
      </w:r>
      <w:r>
        <w:rPr>
          <w:color w:val="auto"/>
        </w:rPr>
        <w:t>团队优秀事迹（团队故事）</w:t>
      </w:r>
    </w:p>
    <w:p w:rsidR="00A41667" w:rsidRDefault="00E268B2">
      <w:pPr>
        <w:pStyle w:val="05"/>
        <w:spacing w:line="324" w:lineRule="auto"/>
        <w:ind w:firstLine="420"/>
        <w:rPr>
          <w:color w:val="auto"/>
        </w:rPr>
      </w:pPr>
      <w:r>
        <w:rPr>
          <w:rFonts w:ascii="宋体" w:hAnsi="宋体" w:cs="宋体" w:hint="eastAsia"/>
          <w:color w:val="auto"/>
        </w:rPr>
        <w:t>⑸</w:t>
      </w:r>
      <w:r>
        <w:rPr>
          <w:color w:val="auto"/>
        </w:rPr>
        <w:t xml:space="preserve"> </w:t>
      </w:r>
      <w:r>
        <w:rPr>
          <w:color w:val="auto"/>
        </w:rPr>
        <w:t>感想及其它想说的话（选填）</w:t>
      </w:r>
    </w:p>
    <w:p w:rsidR="00A41667" w:rsidRDefault="00E268B2">
      <w:pPr>
        <w:pStyle w:val="05"/>
        <w:spacing w:line="324" w:lineRule="auto"/>
        <w:ind w:firstLine="420"/>
        <w:rPr>
          <w:color w:val="auto"/>
        </w:rPr>
      </w:pPr>
      <w:r>
        <w:rPr>
          <w:rFonts w:eastAsia="Times New Roman"/>
          <w:color w:val="auto"/>
        </w:rPr>
        <w:t>a.</w:t>
      </w:r>
      <w:r>
        <w:rPr>
          <w:rFonts w:eastAsia="Times New Roman"/>
          <w:color w:val="auto"/>
        </w:rPr>
        <w:tab/>
      </w:r>
      <w:r>
        <w:rPr>
          <w:color w:val="auto"/>
        </w:rPr>
        <w:t>比赛中的收获（技术方面）</w:t>
      </w:r>
    </w:p>
    <w:p w:rsidR="00A41667" w:rsidRDefault="00E268B2">
      <w:pPr>
        <w:pStyle w:val="05"/>
        <w:spacing w:line="324" w:lineRule="auto"/>
        <w:ind w:firstLine="420"/>
        <w:rPr>
          <w:color w:val="auto"/>
        </w:rPr>
      </w:pPr>
      <w:r>
        <w:rPr>
          <w:rFonts w:eastAsia="Times New Roman"/>
          <w:color w:val="auto"/>
        </w:rPr>
        <w:t>b.</w:t>
      </w:r>
      <w:r>
        <w:rPr>
          <w:rFonts w:eastAsia="Times New Roman"/>
          <w:color w:val="auto"/>
        </w:rPr>
        <w:tab/>
      </w:r>
      <w:r>
        <w:rPr>
          <w:color w:val="auto"/>
        </w:rPr>
        <w:t>比赛中的成长（精神方面）</w:t>
      </w:r>
    </w:p>
    <w:p w:rsidR="00A41667" w:rsidRDefault="00E268B2">
      <w:pPr>
        <w:pStyle w:val="05"/>
        <w:spacing w:line="324" w:lineRule="auto"/>
        <w:ind w:firstLine="420"/>
        <w:rPr>
          <w:color w:val="auto"/>
        </w:rPr>
      </w:pPr>
      <w:r>
        <w:rPr>
          <w:rFonts w:eastAsia="Times New Roman"/>
          <w:color w:val="auto"/>
        </w:rPr>
        <w:t>c.</w:t>
      </w:r>
      <w:r>
        <w:rPr>
          <w:rFonts w:eastAsia="Times New Roman"/>
          <w:color w:val="auto"/>
        </w:rPr>
        <w:tab/>
      </w:r>
      <w:r>
        <w:rPr>
          <w:color w:val="auto"/>
        </w:rPr>
        <w:t>对比赛的建议</w:t>
      </w:r>
      <w:r>
        <w:rPr>
          <w:color w:val="auto"/>
        </w:rPr>
        <w:br w:type="page"/>
      </w:r>
    </w:p>
    <w:p w:rsidR="00A41667" w:rsidRDefault="00E268B2">
      <w:pPr>
        <w:pStyle w:val="01"/>
        <w:spacing w:before="158" w:after="158"/>
        <w:rPr>
          <w:color w:val="auto"/>
        </w:rPr>
      </w:pPr>
      <w:bookmarkStart w:id="38" w:name="_Toc66889994"/>
      <w:r>
        <w:rPr>
          <w:color w:val="auto"/>
        </w:rPr>
        <w:lastRenderedPageBreak/>
        <w:t>附录</w:t>
      </w:r>
      <w:r>
        <w:rPr>
          <w:color w:val="auto"/>
        </w:rPr>
        <w:t xml:space="preserve"> </w:t>
      </w:r>
      <w:r>
        <w:rPr>
          <w:rFonts w:eastAsia="Times New Roman"/>
          <w:color w:val="auto"/>
        </w:rPr>
        <w:t>2</w:t>
      </w:r>
      <w:r>
        <w:rPr>
          <w:color w:val="auto"/>
        </w:rPr>
        <w:t>：机器人自检表</w:t>
      </w:r>
      <w:bookmarkEnd w:id="38"/>
    </w:p>
    <w:tbl>
      <w:tblPr>
        <w:tblStyle w:val="a7"/>
        <w:tblW w:w="5000" w:type="pct"/>
        <w:tblLook w:val="04A0" w:firstRow="1" w:lastRow="0" w:firstColumn="1" w:lastColumn="0" w:noHBand="0" w:noVBand="1"/>
      </w:tblPr>
      <w:tblGrid>
        <w:gridCol w:w="792"/>
        <w:gridCol w:w="1988"/>
        <w:gridCol w:w="5555"/>
        <w:gridCol w:w="1411"/>
      </w:tblGrid>
      <w:tr w:rsidR="00A41667">
        <w:trPr>
          <w:trHeight w:val="369"/>
        </w:trPr>
        <w:tc>
          <w:tcPr>
            <w:tcW w:w="5000" w:type="pct"/>
            <w:gridSpan w:val="4"/>
          </w:tcPr>
          <w:p w:rsidR="00A41667" w:rsidRDefault="00E268B2">
            <w:pPr>
              <w:pStyle w:val="TableParagraph"/>
              <w:jc w:val="center"/>
              <w:rPr>
                <w:b/>
              </w:rPr>
            </w:pPr>
            <w:r>
              <w:rPr>
                <w:rFonts w:ascii="Times New Roman" w:eastAsia="Times New Roman" w:hAnsi="Times New Roman"/>
                <w:b/>
              </w:rPr>
              <w:t>MakeX</w:t>
            </w:r>
            <w:r>
              <w:rPr>
                <w:b/>
              </w:rPr>
              <w:t>“</w:t>
            </w:r>
            <w:r>
              <w:rPr>
                <w:b/>
              </w:rPr>
              <w:t>智能制造</w:t>
            </w:r>
            <w:r>
              <w:rPr>
                <w:b/>
              </w:rPr>
              <w:t>”</w:t>
            </w:r>
            <w:r>
              <w:rPr>
                <w:b/>
              </w:rPr>
              <w:t>挑战赛机器人自检表</w:t>
            </w:r>
          </w:p>
        </w:tc>
      </w:tr>
      <w:tr w:rsidR="00A41667">
        <w:trPr>
          <w:trHeight w:val="369"/>
        </w:trPr>
        <w:tc>
          <w:tcPr>
            <w:tcW w:w="5000" w:type="pct"/>
            <w:gridSpan w:val="4"/>
          </w:tcPr>
          <w:p w:rsidR="00A41667" w:rsidRDefault="00E268B2">
            <w:pPr>
              <w:pStyle w:val="TableParagraph"/>
              <w:jc w:val="center"/>
              <w:rPr>
                <w:b/>
                <w:sz w:val="16"/>
              </w:rPr>
            </w:pPr>
            <w:r>
              <w:rPr>
                <w:b/>
                <w:sz w:val="16"/>
              </w:rPr>
              <w:t>机器人尺寸及重量</w:t>
            </w:r>
          </w:p>
        </w:tc>
      </w:tr>
      <w:tr w:rsidR="00A41667">
        <w:trPr>
          <w:trHeight w:val="369"/>
        </w:trPr>
        <w:tc>
          <w:tcPr>
            <w:tcW w:w="406" w:type="pct"/>
            <w:vAlign w:val="center"/>
          </w:tcPr>
          <w:p w:rsidR="00A41667" w:rsidRDefault="00E268B2">
            <w:pPr>
              <w:pStyle w:val="TableParagraph"/>
              <w:jc w:val="center"/>
              <w:rPr>
                <w:b/>
                <w:sz w:val="16"/>
              </w:rPr>
            </w:pPr>
            <w:r>
              <w:rPr>
                <w:b/>
                <w:sz w:val="16"/>
              </w:rPr>
              <w:t>序号</w:t>
            </w:r>
          </w:p>
        </w:tc>
        <w:tc>
          <w:tcPr>
            <w:tcW w:w="1020" w:type="pct"/>
            <w:vAlign w:val="center"/>
          </w:tcPr>
          <w:p w:rsidR="00A41667" w:rsidRDefault="00E268B2">
            <w:pPr>
              <w:pStyle w:val="TableParagraph"/>
              <w:jc w:val="center"/>
              <w:rPr>
                <w:b/>
                <w:sz w:val="16"/>
              </w:rPr>
            </w:pPr>
            <w:r>
              <w:rPr>
                <w:b/>
                <w:sz w:val="16"/>
              </w:rPr>
              <w:t>检查项目</w:t>
            </w:r>
          </w:p>
        </w:tc>
        <w:tc>
          <w:tcPr>
            <w:tcW w:w="2850" w:type="pct"/>
          </w:tcPr>
          <w:p w:rsidR="00A41667" w:rsidRDefault="00E268B2">
            <w:pPr>
              <w:pStyle w:val="TableParagraph"/>
              <w:jc w:val="center"/>
              <w:rPr>
                <w:b/>
                <w:sz w:val="16"/>
              </w:rPr>
            </w:pPr>
            <w:r>
              <w:rPr>
                <w:b/>
                <w:sz w:val="16"/>
              </w:rPr>
              <w:t>具体要求</w:t>
            </w:r>
          </w:p>
        </w:tc>
        <w:tc>
          <w:tcPr>
            <w:tcW w:w="725" w:type="pct"/>
          </w:tcPr>
          <w:p w:rsidR="00A41667" w:rsidRDefault="00E268B2">
            <w:pPr>
              <w:pStyle w:val="TableParagraph"/>
              <w:jc w:val="center"/>
              <w:rPr>
                <w:b/>
                <w:sz w:val="16"/>
              </w:rPr>
            </w:pPr>
            <w:r>
              <w:rPr>
                <w:b/>
                <w:sz w:val="16"/>
              </w:rPr>
              <w:t>状态</w:t>
            </w:r>
          </w:p>
        </w:tc>
      </w:tr>
      <w:tr w:rsidR="00A41667">
        <w:trPr>
          <w:trHeight w:val="369"/>
        </w:trPr>
        <w:tc>
          <w:tcPr>
            <w:tcW w:w="406" w:type="pct"/>
            <w:vAlign w:val="center"/>
          </w:tcPr>
          <w:p w:rsidR="00A41667" w:rsidRDefault="00E268B2">
            <w:pPr>
              <w:pStyle w:val="TableParagraph"/>
              <w:jc w:val="center"/>
              <w:rPr>
                <w:rFonts w:ascii="Times New Roman"/>
                <w:b/>
                <w:sz w:val="16"/>
              </w:rPr>
            </w:pPr>
            <w:r>
              <w:rPr>
                <w:rFonts w:ascii="Times New Roman"/>
                <w:b/>
                <w:sz w:val="16"/>
              </w:rPr>
              <w:t>1</w:t>
            </w:r>
          </w:p>
        </w:tc>
        <w:tc>
          <w:tcPr>
            <w:tcW w:w="1020" w:type="pct"/>
            <w:vAlign w:val="center"/>
          </w:tcPr>
          <w:p w:rsidR="00A41667" w:rsidRDefault="00E268B2">
            <w:pPr>
              <w:pStyle w:val="TableParagraph"/>
              <w:jc w:val="center"/>
              <w:rPr>
                <w:b/>
                <w:sz w:val="16"/>
              </w:rPr>
            </w:pPr>
            <w:r>
              <w:rPr>
                <w:b/>
                <w:sz w:val="16"/>
              </w:rPr>
              <w:t>机器人尺寸</w:t>
            </w:r>
          </w:p>
        </w:tc>
        <w:tc>
          <w:tcPr>
            <w:tcW w:w="2850" w:type="pct"/>
          </w:tcPr>
          <w:p w:rsidR="00A41667" w:rsidRDefault="00E268B2">
            <w:pPr>
              <w:pStyle w:val="TableParagraph"/>
              <w:rPr>
                <w:sz w:val="16"/>
              </w:rPr>
            </w:pPr>
            <w:r>
              <w:rPr>
                <w:sz w:val="16"/>
              </w:rPr>
              <w:t>初始尺寸为机器人启动前处于静止状态的尺寸。初始尺寸应不大于</w:t>
            </w:r>
            <w:r>
              <w:rPr>
                <w:sz w:val="16"/>
              </w:rPr>
              <w:t xml:space="preserve"> </w:t>
            </w:r>
            <w:r>
              <w:rPr>
                <w:rFonts w:ascii="Times New Roman" w:eastAsia="Times New Roman" w:hAnsi="Times New Roman"/>
                <w:sz w:val="16"/>
              </w:rPr>
              <w:t xml:space="preserve">500mm </w:t>
            </w:r>
            <w:r>
              <w:rPr>
                <w:sz w:val="16"/>
              </w:rPr>
              <w:t>长</w:t>
            </w:r>
            <w:r>
              <w:rPr>
                <w:rFonts w:ascii="Times New Roman" w:eastAsia="Times New Roman" w:hAnsi="Times New Roman"/>
                <w:sz w:val="16"/>
              </w:rPr>
              <w:t xml:space="preserve">×500mm </w:t>
            </w:r>
            <w:r>
              <w:rPr>
                <w:sz w:val="16"/>
              </w:rPr>
              <w:t>宽</w:t>
            </w:r>
            <w:r>
              <w:rPr>
                <w:rFonts w:ascii="Times New Roman" w:eastAsia="Times New Roman" w:hAnsi="Times New Roman"/>
                <w:sz w:val="16"/>
              </w:rPr>
              <w:t xml:space="preserve">×500mm </w:t>
            </w:r>
            <w:r>
              <w:rPr>
                <w:sz w:val="16"/>
              </w:rPr>
              <w:t>高。最大尺寸指机器人在操作的过程中运动伸展至极</w:t>
            </w:r>
            <w:r>
              <w:rPr>
                <w:sz w:val="16"/>
              </w:rPr>
              <w:t xml:space="preserve"> </w:t>
            </w:r>
            <w:r>
              <w:rPr>
                <w:sz w:val="16"/>
              </w:rPr>
              <w:t>限状态之尺寸。。</w:t>
            </w:r>
          </w:p>
          <w:p w:rsidR="00A41667" w:rsidRDefault="00E268B2">
            <w:pPr>
              <w:pStyle w:val="TableParagraph"/>
              <w:rPr>
                <w:rFonts w:ascii="Times New Roman" w:eastAsia="Times New Roman"/>
                <w:sz w:val="16"/>
              </w:rPr>
            </w:pPr>
            <w:r>
              <w:rPr>
                <w:sz w:val="16"/>
              </w:rPr>
              <w:t>机器人在强化改装后的最大尺寸应不大于</w:t>
            </w:r>
            <w:r>
              <w:rPr>
                <w:sz w:val="16"/>
              </w:rPr>
              <w:t xml:space="preserve"> </w:t>
            </w:r>
            <w:r>
              <w:rPr>
                <w:rFonts w:ascii="Times New Roman" w:eastAsia="Times New Roman"/>
                <w:sz w:val="16"/>
              </w:rPr>
              <w:t>500mm</w:t>
            </w:r>
          </w:p>
          <w:p w:rsidR="00A41667" w:rsidRDefault="00E268B2">
            <w:pPr>
              <w:pStyle w:val="TableParagraph"/>
              <w:rPr>
                <w:sz w:val="16"/>
              </w:rPr>
            </w:pPr>
            <w:r>
              <w:rPr>
                <w:sz w:val="16"/>
              </w:rPr>
              <w:t>长</w:t>
            </w:r>
            <w:r>
              <w:rPr>
                <w:rFonts w:ascii="Times New Roman" w:eastAsia="Times New Roman" w:hAnsi="Times New Roman"/>
                <w:sz w:val="16"/>
              </w:rPr>
              <w:t xml:space="preserve">×500mm </w:t>
            </w:r>
            <w:r>
              <w:rPr>
                <w:sz w:val="16"/>
              </w:rPr>
              <w:t>宽，高度不限。</w:t>
            </w:r>
          </w:p>
        </w:tc>
        <w:tc>
          <w:tcPr>
            <w:tcW w:w="725" w:type="pct"/>
          </w:tcPr>
          <w:p w:rsidR="00A41667" w:rsidRDefault="00A41667">
            <w:pPr>
              <w:pStyle w:val="TableParagraph"/>
              <w:rPr>
                <w:rFonts w:ascii="Times New Roman"/>
                <w:sz w:val="16"/>
              </w:rPr>
            </w:pPr>
          </w:p>
        </w:tc>
      </w:tr>
      <w:tr w:rsidR="00A41667">
        <w:trPr>
          <w:trHeight w:val="369"/>
        </w:trPr>
        <w:tc>
          <w:tcPr>
            <w:tcW w:w="406" w:type="pct"/>
            <w:vAlign w:val="center"/>
          </w:tcPr>
          <w:p w:rsidR="00A41667" w:rsidRDefault="00E268B2">
            <w:pPr>
              <w:pStyle w:val="TableParagraph"/>
              <w:jc w:val="center"/>
              <w:rPr>
                <w:rFonts w:ascii="Times New Roman"/>
                <w:b/>
                <w:sz w:val="16"/>
              </w:rPr>
            </w:pPr>
            <w:r>
              <w:rPr>
                <w:rFonts w:ascii="Times New Roman"/>
                <w:b/>
                <w:sz w:val="16"/>
              </w:rPr>
              <w:t>2</w:t>
            </w:r>
          </w:p>
        </w:tc>
        <w:tc>
          <w:tcPr>
            <w:tcW w:w="1020" w:type="pct"/>
            <w:vAlign w:val="center"/>
          </w:tcPr>
          <w:p w:rsidR="00A41667" w:rsidRDefault="00E268B2">
            <w:pPr>
              <w:pStyle w:val="TableParagraph"/>
              <w:jc w:val="center"/>
              <w:rPr>
                <w:b/>
                <w:sz w:val="16"/>
              </w:rPr>
            </w:pPr>
            <w:r>
              <w:rPr>
                <w:b/>
                <w:sz w:val="16"/>
              </w:rPr>
              <w:t>机器人重量</w:t>
            </w:r>
          </w:p>
        </w:tc>
        <w:tc>
          <w:tcPr>
            <w:tcW w:w="2850" w:type="pct"/>
          </w:tcPr>
          <w:p w:rsidR="00A41667" w:rsidRDefault="00E268B2">
            <w:pPr>
              <w:pStyle w:val="TableParagraph"/>
              <w:rPr>
                <w:sz w:val="16"/>
              </w:rPr>
            </w:pPr>
            <w:r>
              <w:rPr>
                <w:sz w:val="16"/>
              </w:rPr>
              <w:t>机器人称重时结构应完整，按照了电池，遥控器应放在机器人上。</w:t>
            </w:r>
          </w:p>
          <w:p w:rsidR="00A41667" w:rsidRDefault="00E268B2">
            <w:pPr>
              <w:pStyle w:val="TableParagraph"/>
              <w:rPr>
                <w:sz w:val="16"/>
              </w:rPr>
            </w:pPr>
            <w:r>
              <w:rPr>
                <w:sz w:val="16"/>
              </w:rPr>
              <w:t>每台机器人不得超过</w:t>
            </w:r>
            <w:r>
              <w:rPr>
                <w:sz w:val="16"/>
              </w:rPr>
              <w:t xml:space="preserve"> </w:t>
            </w:r>
            <w:r>
              <w:rPr>
                <w:rFonts w:ascii="Times New Roman" w:eastAsia="Times New Roman"/>
                <w:sz w:val="16"/>
              </w:rPr>
              <w:t xml:space="preserve">8 kg </w:t>
            </w:r>
            <w:r>
              <w:rPr>
                <w:sz w:val="16"/>
              </w:rPr>
              <w:t>（包括强化改装之后的重量）。</w:t>
            </w:r>
          </w:p>
        </w:tc>
        <w:tc>
          <w:tcPr>
            <w:tcW w:w="725" w:type="pct"/>
          </w:tcPr>
          <w:p w:rsidR="00A41667" w:rsidRDefault="00A41667">
            <w:pPr>
              <w:pStyle w:val="TableParagraph"/>
              <w:rPr>
                <w:rFonts w:ascii="Times New Roman"/>
                <w:sz w:val="16"/>
              </w:rPr>
            </w:pPr>
          </w:p>
        </w:tc>
      </w:tr>
      <w:tr w:rsidR="00A41667">
        <w:trPr>
          <w:trHeight w:val="369"/>
        </w:trPr>
        <w:tc>
          <w:tcPr>
            <w:tcW w:w="5000" w:type="pct"/>
            <w:gridSpan w:val="4"/>
            <w:vAlign w:val="center"/>
          </w:tcPr>
          <w:p w:rsidR="00A41667" w:rsidRDefault="00E268B2">
            <w:pPr>
              <w:pStyle w:val="TableParagraph"/>
              <w:jc w:val="center"/>
              <w:rPr>
                <w:b/>
                <w:sz w:val="16"/>
              </w:rPr>
            </w:pPr>
            <w:r>
              <w:rPr>
                <w:b/>
                <w:sz w:val="16"/>
              </w:rPr>
              <w:t>安全性</w:t>
            </w:r>
          </w:p>
        </w:tc>
      </w:tr>
      <w:tr w:rsidR="00A41667">
        <w:trPr>
          <w:trHeight w:val="369"/>
        </w:trPr>
        <w:tc>
          <w:tcPr>
            <w:tcW w:w="406" w:type="pct"/>
            <w:vAlign w:val="center"/>
          </w:tcPr>
          <w:p w:rsidR="00A41667" w:rsidRDefault="00E268B2">
            <w:pPr>
              <w:pStyle w:val="TableParagraph"/>
              <w:jc w:val="center"/>
              <w:rPr>
                <w:rFonts w:ascii="Times New Roman"/>
                <w:b/>
                <w:sz w:val="16"/>
              </w:rPr>
            </w:pPr>
            <w:r>
              <w:rPr>
                <w:rFonts w:ascii="Times New Roman"/>
                <w:b/>
                <w:sz w:val="16"/>
              </w:rPr>
              <w:t>3</w:t>
            </w:r>
          </w:p>
        </w:tc>
        <w:tc>
          <w:tcPr>
            <w:tcW w:w="1020" w:type="pct"/>
            <w:vAlign w:val="center"/>
          </w:tcPr>
          <w:p w:rsidR="00A41667" w:rsidRDefault="00E268B2">
            <w:pPr>
              <w:pStyle w:val="TableParagraph"/>
              <w:jc w:val="center"/>
              <w:rPr>
                <w:b/>
                <w:sz w:val="16"/>
              </w:rPr>
            </w:pPr>
            <w:r>
              <w:rPr>
                <w:b/>
                <w:sz w:val="16"/>
              </w:rPr>
              <w:t>危险结构</w:t>
            </w:r>
          </w:p>
        </w:tc>
        <w:tc>
          <w:tcPr>
            <w:tcW w:w="2850" w:type="pct"/>
            <w:vAlign w:val="center"/>
          </w:tcPr>
          <w:p w:rsidR="00A41667" w:rsidRDefault="00E268B2">
            <w:pPr>
              <w:pStyle w:val="TableParagraph"/>
              <w:jc w:val="both"/>
              <w:rPr>
                <w:sz w:val="16"/>
              </w:rPr>
            </w:pPr>
            <w:r>
              <w:rPr>
                <w:sz w:val="16"/>
              </w:rPr>
              <w:t>在机器装卸、搬运、使用过程中可能对人员造成伤害的结构，应有安全防护措施。</w:t>
            </w:r>
          </w:p>
        </w:tc>
        <w:tc>
          <w:tcPr>
            <w:tcW w:w="725" w:type="pct"/>
          </w:tcPr>
          <w:p w:rsidR="00A41667" w:rsidRDefault="00A41667">
            <w:pPr>
              <w:pStyle w:val="TableParagraph"/>
              <w:rPr>
                <w:rFonts w:ascii="Times New Roman"/>
                <w:sz w:val="16"/>
              </w:rPr>
            </w:pPr>
          </w:p>
        </w:tc>
      </w:tr>
      <w:tr w:rsidR="00A41667">
        <w:trPr>
          <w:trHeight w:val="369"/>
        </w:trPr>
        <w:tc>
          <w:tcPr>
            <w:tcW w:w="406" w:type="pct"/>
            <w:vAlign w:val="center"/>
          </w:tcPr>
          <w:p w:rsidR="00A41667" w:rsidRDefault="00E268B2">
            <w:pPr>
              <w:pStyle w:val="TableParagraph"/>
              <w:jc w:val="center"/>
              <w:rPr>
                <w:rFonts w:ascii="Times New Roman"/>
                <w:b/>
                <w:sz w:val="16"/>
              </w:rPr>
            </w:pPr>
            <w:r>
              <w:rPr>
                <w:rFonts w:ascii="Times New Roman"/>
                <w:b/>
                <w:sz w:val="16"/>
              </w:rPr>
              <w:t>4</w:t>
            </w:r>
          </w:p>
        </w:tc>
        <w:tc>
          <w:tcPr>
            <w:tcW w:w="1020" w:type="pct"/>
            <w:vAlign w:val="center"/>
          </w:tcPr>
          <w:p w:rsidR="00A41667" w:rsidRDefault="00E268B2">
            <w:pPr>
              <w:pStyle w:val="TableParagraph"/>
              <w:jc w:val="center"/>
              <w:rPr>
                <w:b/>
                <w:sz w:val="16"/>
              </w:rPr>
            </w:pPr>
            <w:r>
              <w:rPr>
                <w:b/>
                <w:sz w:val="16"/>
              </w:rPr>
              <w:t>破坏场地</w:t>
            </w:r>
          </w:p>
        </w:tc>
        <w:tc>
          <w:tcPr>
            <w:tcW w:w="2850" w:type="pct"/>
            <w:vAlign w:val="center"/>
          </w:tcPr>
          <w:p w:rsidR="00A41667" w:rsidRDefault="00E268B2">
            <w:pPr>
              <w:pStyle w:val="TableParagraph"/>
              <w:jc w:val="both"/>
              <w:rPr>
                <w:sz w:val="16"/>
              </w:rPr>
            </w:pPr>
            <w:r>
              <w:rPr>
                <w:sz w:val="16"/>
              </w:rPr>
              <w:t>在机器人装卸、搬运、使用过程中对比赛场地不得造成明显的破坏。</w:t>
            </w:r>
          </w:p>
        </w:tc>
        <w:tc>
          <w:tcPr>
            <w:tcW w:w="725" w:type="pct"/>
          </w:tcPr>
          <w:p w:rsidR="00A41667" w:rsidRDefault="00A41667">
            <w:pPr>
              <w:pStyle w:val="TableParagraph"/>
              <w:rPr>
                <w:rFonts w:ascii="Times New Roman"/>
                <w:sz w:val="16"/>
              </w:rPr>
            </w:pPr>
          </w:p>
        </w:tc>
      </w:tr>
      <w:tr w:rsidR="00A41667">
        <w:trPr>
          <w:trHeight w:val="369"/>
        </w:trPr>
        <w:tc>
          <w:tcPr>
            <w:tcW w:w="406" w:type="pct"/>
            <w:vAlign w:val="center"/>
          </w:tcPr>
          <w:p w:rsidR="00A41667" w:rsidRDefault="00E268B2">
            <w:pPr>
              <w:pStyle w:val="TableParagraph"/>
              <w:jc w:val="center"/>
              <w:rPr>
                <w:rFonts w:ascii="Times New Roman"/>
                <w:b/>
                <w:sz w:val="16"/>
              </w:rPr>
            </w:pPr>
            <w:r>
              <w:rPr>
                <w:rFonts w:ascii="Times New Roman"/>
                <w:b/>
                <w:sz w:val="16"/>
              </w:rPr>
              <w:t>5</w:t>
            </w:r>
          </w:p>
        </w:tc>
        <w:tc>
          <w:tcPr>
            <w:tcW w:w="1020" w:type="pct"/>
            <w:vAlign w:val="center"/>
          </w:tcPr>
          <w:p w:rsidR="00A41667" w:rsidRDefault="00E268B2">
            <w:pPr>
              <w:pStyle w:val="TableParagraph"/>
              <w:jc w:val="center"/>
              <w:rPr>
                <w:b/>
                <w:sz w:val="16"/>
              </w:rPr>
            </w:pPr>
            <w:r>
              <w:rPr>
                <w:b/>
                <w:sz w:val="16"/>
              </w:rPr>
              <w:t>大功率工具</w:t>
            </w:r>
          </w:p>
        </w:tc>
        <w:tc>
          <w:tcPr>
            <w:tcW w:w="2850" w:type="pct"/>
            <w:vAlign w:val="center"/>
          </w:tcPr>
          <w:p w:rsidR="00A41667" w:rsidRDefault="00E268B2">
            <w:pPr>
              <w:pStyle w:val="TableParagraph"/>
              <w:jc w:val="both"/>
              <w:rPr>
                <w:sz w:val="16"/>
              </w:rPr>
            </w:pPr>
            <w:r>
              <w:rPr>
                <w:sz w:val="16"/>
              </w:rPr>
              <w:t>没有大功率危险器材。</w:t>
            </w:r>
          </w:p>
        </w:tc>
        <w:tc>
          <w:tcPr>
            <w:tcW w:w="725" w:type="pct"/>
          </w:tcPr>
          <w:p w:rsidR="00A41667" w:rsidRDefault="00A41667">
            <w:pPr>
              <w:pStyle w:val="TableParagraph"/>
              <w:rPr>
                <w:rFonts w:ascii="Times New Roman"/>
                <w:sz w:val="16"/>
              </w:rPr>
            </w:pPr>
          </w:p>
        </w:tc>
      </w:tr>
      <w:tr w:rsidR="00A41667">
        <w:trPr>
          <w:trHeight w:val="369"/>
        </w:trPr>
        <w:tc>
          <w:tcPr>
            <w:tcW w:w="406" w:type="pct"/>
            <w:vAlign w:val="center"/>
          </w:tcPr>
          <w:p w:rsidR="00A41667" w:rsidRDefault="00E268B2">
            <w:pPr>
              <w:pStyle w:val="TableParagraph"/>
              <w:jc w:val="center"/>
              <w:rPr>
                <w:rFonts w:ascii="Times New Roman"/>
                <w:b/>
                <w:sz w:val="16"/>
              </w:rPr>
            </w:pPr>
            <w:r>
              <w:rPr>
                <w:rFonts w:ascii="Times New Roman"/>
                <w:b/>
                <w:sz w:val="16"/>
              </w:rPr>
              <w:t>6</w:t>
            </w:r>
          </w:p>
        </w:tc>
        <w:tc>
          <w:tcPr>
            <w:tcW w:w="1020" w:type="pct"/>
            <w:vAlign w:val="center"/>
          </w:tcPr>
          <w:p w:rsidR="00A41667" w:rsidRDefault="00E268B2">
            <w:pPr>
              <w:pStyle w:val="TableParagraph"/>
              <w:jc w:val="center"/>
              <w:rPr>
                <w:b/>
                <w:sz w:val="16"/>
              </w:rPr>
            </w:pPr>
            <w:r>
              <w:rPr>
                <w:b/>
                <w:sz w:val="16"/>
              </w:rPr>
              <w:t>不安全储能设备</w:t>
            </w:r>
          </w:p>
        </w:tc>
        <w:tc>
          <w:tcPr>
            <w:tcW w:w="2850" w:type="pct"/>
            <w:vAlign w:val="center"/>
          </w:tcPr>
          <w:p w:rsidR="00A41667" w:rsidRDefault="00E268B2">
            <w:pPr>
              <w:pStyle w:val="TableParagraph"/>
              <w:jc w:val="both"/>
              <w:rPr>
                <w:sz w:val="16"/>
              </w:rPr>
            </w:pPr>
            <w:r>
              <w:rPr>
                <w:sz w:val="16"/>
              </w:rPr>
              <w:t>不安全储能设备（弹簧）等在使用的过程中应保证安全。</w:t>
            </w:r>
          </w:p>
        </w:tc>
        <w:tc>
          <w:tcPr>
            <w:tcW w:w="725" w:type="pct"/>
          </w:tcPr>
          <w:p w:rsidR="00A41667" w:rsidRDefault="00A41667">
            <w:pPr>
              <w:pStyle w:val="TableParagraph"/>
              <w:rPr>
                <w:rFonts w:ascii="Times New Roman"/>
                <w:sz w:val="16"/>
              </w:rPr>
            </w:pPr>
          </w:p>
        </w:tc>
      </w:tr>
      <w:tr w:rsidR="00A41667">
        <w:trPr>
          <w:trHeight w:val="369"/>
        </w:trPr>
        <w:tc>
          <w:tcPr>
            <w:tcW w:w="406" w:type="pct"/>
            <w:vAlign w:val="center"/>
          </w:tcPr>
          <w:p w:rsidR="00A41667" w:rsidRDefault="00E268B2">
            <w:pPr>
              <w:pStyle w:val="TableParagraph"/>
              <w:jc w:val="center"/>
              <w:rPr>
                <w:rFonts w:ascii="Times New Roman"/>
                <w:b/>
                <w:sz w:val="16"/>
              </w:rPr>
            </w:pPr>
            <w:r>
              <w:rPr>
                <w:rFonts w:ascii="Times New Roman"/>
                <w:b/>
                <w:sz w:val="16"/>
              </w:rPr>
              <w:t>7</w:t>
            </w:r>
          </w:p>
        </w:tc>
        <w:tc>
          <w:tcPr>
            <w:tcW w:w="1020" w:type="pct"/>
            <w:vAlign w:val="center"/>
          </w:tcPr>
          <w:p w:rsidR="00A41667" w:rsidRDefault="00E268B2">
            <w:pPr>
              <w:pStyle w:val="TableParagraph"/>
              <w:jc w:val="center"/>
              <w:rPr>
                <w:b/>
                <w:sz w:val="16"/>
              </w:rPr>
            </w:pPr>
            <w:r>
              <w:rPr>
                <w:b/>
                <w:sz w:val="16"/>
              </w:rPr>
              <w:t>人员安全</w:t>
            </w:r>
          </w:p>
        </w:tc>
        <w:tc>
          <w:tcPr>
            <w:tcW w:w="2850" w:type="pct"/>
            <w:vAlign w:val="center"/>
          </w:tcPr>
          <w:p w:rsidR="00A41667" w:rsidRDefault="00E268B2">
            <w:pPr>
              <w:pStyle w:val="TableParagraph"/>
              <w:jc w:val="both"/>
              <w:rPr>
                <w:sz w:val="16"/>
              </w:rPr>
            </w:pPr>
            <w:r>
              <w:rPr>
                <w:sz w:val="16"/>
              </w:rPr>
              <w:t>参赛队员佩戴护目镜；留长发者扎起；参赛队员不得穿露脚趾的鞋进入场地。</w:t>
            </w:r>
          </w:p>
        </w:tc>
        <w:tc>
          <w:tcPr>
            <w:tcW w:w="725" w:type="pct"/>
          </w:tcPr>
          <w:p w:rsidR="00A41667" w:rsidRDefault="00A41667">
            <w:pPr>
              <w:pStyle w:val="TableParagraph"/>
              <w:rPr>
                <w:rFonts w:ascii="Times New Roman"/>
                <w:sz w:val="16"/>
              </w:rPr>
            </w:pPr>
          </w:p>
        </w:tc>
      </w:tr>
      <w:tr w:rsidR="00A41667">
        <w:trPr>
          <w:trHeight w:val="369"/>
        </w:trPr>
        <w:tc>
          <w:tcPr>
            <w:tcW w:w="406" w:type="pct"/>
            <w:vAlign w:val="center"/>
          </w:tcPr>
          <w:p w:rsidR="00A41667" w:rsidRDefault="00E268B2">
            <w:pPr>
              <w:pStyle w:val="TableParagraph"/>
              <w:jc w:val="center"/>
              <w:rPr>
                <w:rFonts w:ascii="Times New Roman"/>
                <w:b/>
                <w:sz w:val="16"/>
              </w:rPr>
            </w:pPr>
            <w:r>
              <w:rPr>
                <w:rFonts w:ascii="Times New Roman"/>
                <w:b/>
                <w:sz w:val="16"/>
              </w:rPr>
              <w:t>8</w:t>
            </w:r>
          </w:p>
        </w:tc>
        <w:tc>
          <w:tcPr>
            <w:tcW w:w="1020" w:type="pct"/>
            <w:vAlign w:val="center"/>
          </w:tcPr>
          <w:p w:rsidR="00A41667" w:rsidRDefault="00E268B2">
            <w:pPr>
              <w:pStyle w:val="TableParagraph"/>
              <w:jc w:val="center"/>
              <w:rPr>
                <w:b/>
                <w:sz w:val="16"/>
              </w:rPr>
            </w:pPr>
            <w:r>
              <w:rPr>
                <w:b/>
                <w:sz w:val="16"/>
              </w:rPr>
              <w:t>严格禁止的材料</w:t>
            </w:r>
          </w:p>
        </w:tc>
        <w:tc>
          <w:tcPr>
            <w:tcW w:w="2850" w:type="pct"/>
            <w:vAlign w:val="center"/>
          </w:tcPr>
          <w:p w:rsidR="00A41667" w:rsidRDefault="00E268B2">
            <w:pPr>
              <w:pStyle w:val="TableParagraph"/>
              <w:jc w:val="both"/>
              <w:rPr>
                <w:sz w:val="16"/>
              </w:rPr>
            </w:pPr>
            <w:r>
              <w:rPr>
                <w:sz w:val="16"/>
              </w:rPr>
              <w:t>易燃气体、烟火相关设备、液压件、含汞的开关、暴露的危险材料、不安全的配重、可能造成纠缠和比赛延迟的设计、锋利边角、含有液体或胶状物的材料、可能将机器人上电流导至场地上的任何零</w:t>
            </w:r>
            <w:r>
              <w:rPr>
                <w:sz w:val="16"/>
              </w:rPr>
              <w:t xml:space="preserve"> </w:t>
            </w:r>
            <w:r>
              <w:rPr>
                <w:sz w:val="16"/>
              </w:rPr>
              <w:t>件。</w:t>
            </w:r>
          </w:p>
        </w:tc>
        <w:tc>
          <w:tcPr>
            <w:tcW w:w="725" w:type="pct"/>
          </w:tcPr>
          <w:p w:rsidR="00A41667" w:rsidRDefault="00A41667">
            <w:pPr>
              <w:pStyle w:val="TableParagraph"/>
              <w:rPr>
                <w:rFonts w:ascii="Times New Roman"/>
                <w:sz w:val="16"/>
              </w:rPr>
            </w:pPr>
          </w:p>
        </w:tc>
      </w:tr>
      <w:tr w:rsidR="00A41667">
        <w:trPr>
          <w:trHeight w:val="369"/>
        </w:trPr>
        <w:tc>
          <w:tcPr>
            <w:tcW w:w="5000" w:type="pct"/>
            <w:gridSpan w:val="4"/>
            <w:vAlign w:val="center"/>
          </w:tcPr>
          <w:p w:rsidR="00A41667" w:rsidRDefault="00E268B2">
            <w:pPr>
              <w:pStyle w:val="TableParagraph"/>
              <w:jc w:val="center"/>
              <w:rPr>
                <w:b/>
                <w:sz w:val="16"/>
              </w:rPr>
            </w:pPr>
            <w:r>
              <w:rPr>
                <w:b/>
                <w:sz w:val="16"/>
              </w:rPr>
              <w:t>机器人模块</w:t>
            </w:r>
          </w:p>
        </w:tc>
      </w:tr>
      <w:tr w:rsidR="00A41667">
        <w:trPr>
          <w:trHeight w:val="369"/>
        </w:trPr>
        <w:tc>
          <w:tcPr>
            <w:tcW w:w="406" w:type="pct"/>
            <w:vAlign w:val="center"/>
          </w:tcPr>
          <w:p w:rsidR="00A41667" w:rsidRDefault="00E268B2">
            <w:pPr>
              <w:pStyle w:val="TableParagraph"/>
              <w:jc w:val="center"/>
              <w:rPr>
                <w:rFonts w:ascii="Times New Roman"/>
                <w:b/>
                <w:sz w:val="16"/>
              </w:rPr>
            </w:pPr>
            <w:r>
              <w:rPr>
                <w:rFonts w:ascii="Times New Roman"/>
                <w:b/>
                <w:sz w:val="16"/>
              </w:rPr>
              <w:t>9</w:t>
            </w:r>
          </w:p>
        </w:tc>
        <w:tc>
          <w:tcPr>
            <w:tcW w:w="1020" w:type="pct"/>
            <w:vAlign w:val="center"/>
          </w:tcPr>
          <w:p w:rsidR="00A41667" w:rsidRDefault="00E268B2">
            <w:pPr>
              <w:pStyle w:val="TableParagraph"/>
              <w:jc w:val="center"/>
              <w:rPr>
                <w:b/>
                <w:sz w:val="16"/>
              </w:rPr>
            </w:pPr>
            <w:r>
              <w:rPr>
                <w:b/>
                <w:sz w:val="16"/>
              </w:rPr>
              <w:t>遥控器</w:t>
            </w:r>
          </w:p>
        </w:tc>
        <w:tc>
          <w:tcPr>
            <w:tcW w:w="2850" w:type="pct"/>
            <w:vAlign w:val="center"/>
          </w:tcPr>
          <w:p w:rsidR="00A41667" w:rsidRDefault="00E268B2">
            <w:pPr>
              <w:pStyle w:val="TableParagraph"/>
              <w:jc w:val="both"/>
              <w:rPr>
                <w:sz w:val="16"/>
              </w:rPr>
            </w:pPr>
            <w:r>
              <w:rPr>
                <w:sz w:val="16"/>
              </w:rPr>
              <w:t>使用比赛指定遥控器。</w:t>
            </w:r>
          </w:p>
        </w:tc>
        <w:tc>
          <w:tcPr>
            <w:tcW w:w="725" w:type="pct"/>
          </w:tcPr>
          <w:p w:rsidR="00A41667" w:rsidRDefault="00A41667">
            <w:pPr>
              <w:pStyle w:val="TableParagraph"/>
              <w:rPr>
                <w:rFonts w:ascii="Times New Roman"/>
                <w:sz w:val="16"/>
              </w:rPr>
            </w:pPr>
          </w:p>
        </w:tc>
      </w:tr>
      <w:tr w:rsidR="00A41667">
        <w:trPr>
          <w:trHeight w:val="369"/>
        </w:trPr>
        <w:tc>
          <w:tcPr>
            <w:tcW w:w="406" w:type="pct"/>
            <w:vAlign w:val="center"/>
          </w:tcPr>
          <w:p w:rsidR="00A41667" w:rsidRDefault="00E268B2">
            <w:pPr>
              <w:pStyle w:val="TableParagraph"/>
              <w:jc w:val="center"/>
              <w:rPr>
                <w:rFonts w:ascii="Times New Roman"/>
                <w:b/>
                <w:sz w:val="16"/>
              </w:rPr>
            </w:pPr>
            <w:r>
              <w:rPr>
                <w:rFonts w:ascii="Times New Roman"/>
                <w:b/>
                <w:sz w:val="16"/>
              </w:rPr>
              <w:t>10</w:t>
            </w:r>
          </w:p>
        </w:tc>
        <w:tc>
          <w:tcPr>
            <w:tcW w:w="1020" w:type="pct"/>
            <w:vAlign w:val="center"/>
          </w:tcPr>
          <w:p w:rsidR="00A41667" w:rsidRDefault="00E268B2">
            <w:pPr>
              <w:pStyle w:val="TableParagraph"/>
              <w:jc w:val="center"/>
              <w:rPr>
                <w:b/>
                <w:sz w:val="16"/>
              </w:rPr>
            </w:pPr>
            <w:r>
              <w:rPr>
                <w:b/>
                <w:sz w:val="16"/>
              </w:rPr>
              <w:t>主控</w:t>
            </w:r>
          </w:p>
        </w:tc>
        <w:tc>
          <w:tcPr>
            <w:tcW w:w="2850" w:type="pct"/>
            <w:vAlign w:val="center"/>
          </w:tcPr>
          <w:p w:rsidR="00A41667" w:rsidRDefault="00E268B2">
            <w:pPr>
              <w:pStyle w:val="TableParagraph"/>
              <w:jc w:val="both"/>
              <w:rPr>
                <w:sz w:val="16"/>
              </w:rPr>
            </w:pPr>
            <w:r>
              <w:rPr>
                <w:sz w:val="16"/>
              </w:rPr>
              <w:t>使用比赛指定主控，且仅有一个主控，具备和遥控器配对的接收模块。</w:t>
            </w:r>
          </w:p>
        </w:tc>
        <w:tc>
          <w:tcPr>
            <w:tcW w:w="725" w:type="pct"/>
          </w:tcPr>
          <w:p w:rsidR="00A41667" w:rsidRDefault="00A41667">
            <w:pPr>
              <w:pStyle w:val="TableParagraph"/>
              <w:rPr>
                <w:rFonts w:ascii="Times New Roman"/>
                <w:sz w:val="16"/>
              </w:rPr>
            </w:pPr>
          </w:p>
        </w:tc>
      </w:tr>
      <w:tr w:rsidR="00A41667">
        <w:trPr>
          <w:trHeight w:val="369"/>
        </w:trPr>
        <w:tc>
          <w:tcPr>
            <w:tcW w:w="406" w:type="pct"/>
            <w:vAlign w:val="center"/>
          </w:tcPr>
          <w:p w:rsidR="00A41667" w:rsidRDefault="00E268B2">
            <w:pPr>
              <w:pStyle w:val="TableParagraph"/>
              <w:jc w:val="center"/>
              <w:rPr>
                <w:rFonts w:ascii="Times New Roman"/>
                <w:b/>
                <w:sz w:val="16"/>
              </w:rPr>
            </w:pPr>
            <w:r>
              <w:rPr>
                <w:rFonts w:ascii="Times New Roman"/>
                <w:b/>
                <w:sz w:val="16"/>
              </w:rPr>
              <w:t>11</w:t>
            </w:r>
          </w:p>
        </w:tc>
        <w:tc>
          <w:tcPr>
            <w:tcW w:w="1020" w:type="pct"/>
            <w:vAlign w:val="center"/>
          </w:tcPr>
          <w:p w:rsidR="00A41667" w:rsidRDefault="00E268B2">
            <w:pPr>
              <w:pStyle w:val="TableParagraph"/>
              <w:jc w:val="center"/>
              <w:rPr>
                <w:b/>
                <w:sz w:val="16"/>
              </w:rPr>
            </w:pPr>
            <w:r>
              <w:rPr>
                <w:b/>
                <w:sz w:val="16"/>
              </w:rPr>
              <w:t>电源</w:t>
            </w:r>
          </w:p>
        </w:tc>
        <w:tc>
          <w:tcPr>
            <w:tcW w:w="2850" w:type="pct"/>
            <w:vAlign w:val="center"/>
          </w:tcPr>
          <w:p w:rsidR="00A41667" w:rsidRDefault="00E268B2">
            <w:pPr>
              <w:pStyle w:val="TableParagraph"/>
              <w:jc w:val="both"/>
              <w:rPr>
                <w:sz w:val="16"/>
              </w:rPr>
            </w:pPr>
            <w:r>
              <w:rPr>
                <w:sz w:val="16"/>
              </w:rPr>
              <w:t>使用比赛指定的电池供电并安全地固定在机器人内。每台机器人仅能使用一块电池（激光瞄准装置除外）。电池规格：</w:t>
            </w:r>
            <w:r>
              <w:rPr>
                <w:rFonts w:ascii="Times New Roman" w:eastAsia="Times New Roman"/>
                <w:sz w:val="16"/>
              </w:rPr>
              <w:t xml:space="preserve">3S </w:t>
            </w:r>
            <w:r>
              <w:rPr>
                <w:sz w:val="16"/>
              </w:rPr>
              <w:t>航模电池输出电压</w:t>
            </w:r>
            <w:r>
              <w:rPr>
                <w:sz w:val="16"/>
              </w:rPr>
              <w:t xml:space="preserve"> 11.1 / 11.2v</w:t>
            </w:r>
            <w:r>
              <w:rPr>
                <w:sz w:val="16"/>
              </w:rPr>
              <w:t>、放电倍率</w:t>
            </w:r>
            <w:r>
              <w:rPr>
                <w:sz w:val="16"/>
              </w:rPr>
              <w:t xml:space="preserve"> 25c / 30c</w:t>
            </w:r>
            <w:r>
              <w:rPr>
                <w:sz w:val="16"/>
              </w:rPr>
              <w:t>。</w:t>
            </w:r>
          </w:p>
        </w:tc>
        <w:tc>
          <w:tcPr>
            <w:tcW w:w="725" w:type="pct"/>
          </w:tcPr>
          <w:p w:rsidR="00A41667" w:rsidRDefault="00A41667">
            <w:pPr>
              <w:pStyle w:val="TableParagraph"/>
              <w:rPr>
                <w:rFonts w:ascii="Times New Roman"/>
                <w:sz w:val="16"/>
              </w:rPr>
            </w:pPr>
          </w:p>
        </w:tc>
      </w:tr>
      <w:tr w:rsidR="00A41667">
        <w:trPr>
          <w:trHeight w:val="369"/>
        </w:trPr>
        <w:tc>
          <w:tcPr>
            <w:tcW w:w="406" w:type="pct"/>
            <w:vAlign w:val="center"/>
          </w:tcPr>
          <w:p w:rsidR="00A41667" w:rsidRDefault="00E268B2">
            <w:pPr>
              <w:pStyle w:val="TableParagraph"/>
              <w:jc w:val="center"/>
              <w:rPr>
                <w:rFonts w:ascii="Times New Roman"/>
                <w:b/>
                <w:sz w:val="16"/>
              </w:rPr>
            </w:pPr>
            <w:r>
              <w:rPr>
                <w:rFonts w:ascii="Times New Roman"/>
                <w:b/>
                <w:sz w:val="16"/>
              </w:rPr>
              <w:t>12</w:t>
            </w:r>
          </w:p>
        </w:tc>
        <w:tc>
          <w:tcPr>
            <w:tcW w:w="1020" w:type="pct"/>
            <w:vAlign w:val="center"/>
          </w:tcPr>
          <w:p w:rsidR="00A41667" w:rsidRDefault="00E268B2">
            <w:pPr>
              <w:pStyle w:val="TableParagraph"/>
              <w:jc w:val="center"/>
              <w:rPr>
                <w:b/>
                <w:sz w:val="16"/>
              </w:rPr>
            </w:pPr>
            <w:r>
              <w:rPr>
                <w:b/>
                <w:sz w:val="16"/>
              </w:rPr>
              <w:t>电池管理模块</w:t>
            </w:r>
          </w:p>
        </w:tc>
        <w:tc>
          <w:tcPr>
            <w:tcW w:w="2850" w:type="pct"/>
            <w:vAlign w:val="center"/>
          </w:tcPr>
          <w:p w:rsidR="00A41667" w:rsidRDefault="00E268B2">
            <w:pPr>
              <w:pStyle w:val="TableParagraph"/>
              <w:jc w:val="both"/>
              <w:rPr>
                <w:sz w:val="16"/>
              </w:rPr>
            </w:pPr>
            <w:r>
              <w:rPr>
                <w:sz w:val="16"/>
              </w:rPr>
              <w:t>电池管理模块能与比赛系统配合，完成机器人的通电、断电、开启自动程序等三个动作。</w:t>
            </w:r>
          </w:p>
        </w:tc>
        <w:tc>
          <w:tcPr>
            <w:tcW w:w="725" w:type="pct"/>
          </w:tcPr>
          <w:p w:rsidR="00A41667" w:rsidRDefault="00A41667">
            <w:pPr>
              <w:pStyle w:val="TableParagraph"/>
              <w:rPr>
                <w:rFonts w:ascii="Times New Roman"/>
                <w:sz w:val="16"/>
              </w:rPr>
            </w:pPr>
          </w:p>
        </w:tc>
      </w:tr>
      <w:tr w:rsidR="00A41667">
        <w:trPr>
          <w:trHeight w:val="369"/>
        </w:trPr>
        <w:tc>
          <w:tcPr>
            <w:tcW w:w="406" w:type="pct"/>
            <w:vAlign w:val="center"/>
          </w:tcPr>
          <w:p w:rsidR="00A41667" w:rsidRDefault="00E268B2">
            <w:pPr>
              <w:pStyle w:val="TableParagraph"/>
              <w:jc w:val="center"/>
              <w:rPr>
                <w:rFonts w:ascii="Times New Roman"/>
                <w:b/>
                <w:sz w:val="16"/>
              </w:rPr>
            </w:pPr>
            <w:r>
              <w:rPr>
                <w:rFonts w:ascii="Times New Roman"/>
                <w:b/>
                <w:sz w:val="16"/>
              </w:rPr>
              <w:t>13</w:t>
            </w:r>
          </w:p>
        </w:tc>
        <w:tc>
          <w:tcPr>
            <w:tcW w:w="1020" w:type="pct"/>
            <w:vAlign w:val="center"/>
          </w:tcPr>
          <w:p w:rsidR="00A41667" w:rsidRDefault="00E268B2">
            <w:pPr>
              <w:pStyle w:val="TableParagraph"/>
              <w:jc w:val="center"/>
              <w:rPr>
                <w:b/>
                <w:sz w:val="16"/>
              </w:rPr>
            </w:pPr>
            <w:r>
              <w:rPr>
                <w:b/>
                <w:sz w:val="16"/>
              </w:rPr>
              <w:t>自定制零件及辅材</w:t>
            </w:r>
          </w:p>
        </w:tc>
        <w:tc>
          <w:tcPr>
            <w:tcW w:w="2850" w:type="pct"/>
            <w:vAlign w:val="center"/>
          </w:tcPr>
          <w:p w:rsidR="00A41667" w:rsidRDefault="00E268B2">
            <w:pPr>
              <w:pStyle w:val="TableParagraph"/>
              <w:jc w:val="both"/>
              <w:rPr>
                <w:sz w:val="16"/>
              </w:rPr>
            </w:pPr>
            <w:r>
              <w:rPr>
                <w:sz w:val="16"/>
              </w:rPr>
              <w:t>可使用自制、定制零件，包括板材、型材、</w:t>
            </w:r>
            <w:r>
              <w:rPr>
                <w:sz w:val="16"/>
              </w:rPr>
              <w:t xml:space="preserve">3D </w:t>
            </w:r>
            <w:r>
              <w:rPr>
                <w:sz w:val="16"/>
              </w:rPr>
              <w:t>打印件、金属、木材、塑料、橡胶、磁铁。辅材允许使用绳子、电缆、线、弹簧、橡皮筋、皮管、医用橡皮管、冲孔薄板、注塑成型制品。可以使用单自由度的商品组件。不允许使用多自由度商品组件。</w:t>
            </w:r>
          </w:p>
        </w:tc>
        <w:tc>
          <w:tcPr>
            <w:tcW w:w="725" w:type="pct"/>
          </w:tcPr>
          <w:p w:rsidR="00A41667" w:rsidRDefault="00A41667">
            <w:pPr>
              <w:pStyle w:val="TableParagraph"/>
              <w:rPr>
                <w:rFonts w:ascii="Times New Roman"/>
                <w:sz w:val="16"/>
              </w:rPr>
            </w:pPr>
          </w:p>
        </w:tc>
      </w:tr>
      <w:tr w:rsidR="00A41667">
        <w:trPr>
          <w:trHeight w:val="369"/>
        </w:trPr>
        <w:tc>
          <w:tcPr>
            <w:tcW w:w="406" w:type="pct"/>
            <w:vMerge w:val="restart"/>
            <w:vAlign w:val="center"/>
          </w:tcPr>
          <w:p w:rsidR="00A41667" w:rsidRDefault="00E268B2">
            <w:pPr>
              <w:pStyle w:val="TableParagraph"/>
              <w:jc w:val="center"/>
              <w:rPr>
                <w:rFonts w:ascii="Times New Roman"/>
                <w:b/>
                <w:sz w:val="16"/>
              </w:rPr>
            </w:pPr>
            <w:r>
              <w:rPr>
                <w:rFonts w:ascii="Times New Roman"/>
                <w:b/>
                <w:sz w:val="16"/>
              </w:rPr>
              <w:t>14</w:t>
            </w:r>
          </w:p>
        </w:tc>
        <w:tc>
          <w:tcPr>
            <w:tcW w:w="1020" w:type="pct"/>
            <w:vMerge w:val="restart"/>
            <w:vAlign w:val="center"/>
          </w:tcPr>
          <w:p w:rsidR="00A41667" w:rsidRDefault="00E268B2">
            <w:pPr>
              <w:pStyle w:val="TableParagraph"/>
              <w:jc w:val="center"/>
              <w:rPr>
                <w:b/>
                <w:sz w:val="16"/>
              </w:rPr>
            </w:pPr>
            <w:r>
              <w:rPr>
                <w:b/>
                <w:sz w:val="16"/>
              </w:rPr>
              <w:t>可发光、声传感器</w:t>
            </w:r>
          </w:p>
        </w:tc>
        <w:tc>
          <w:tcPr>
            <w:tcW w:w="2850" w:type="pct"/>
            <w:vAlign w:val="center"/>
          </w:tcPr>
          <w:p w:rsidR="00A41667" w:rsidRDefault="00E268B2">
            <w:pPr>
              <w:pStyle w:val="TableParagraph"/>
              <w:jc w:val="both"/>
              <w:rPr>
                <w:sz w:val="16"/>
              </w:rPr>
            </w:pPr>
            <w:r>
              <w:rPr>
                <w:sz w:val="16"/>
              </w:rPr>
              <w:t>除功率小于</w:t>
            </w:r>
            <w:r>
              <w:rPr>
                <w:sz w:val="16"/>
              </w:rPr>
              <w:t xml:space="preserve"> </w:t>
            </w:r>
            <w:r>
              <w:rPr>
                <w:rFonts w:ascii="Times New Roman" w:eastAsia="Times New Roman"/>
                <w:sz w:val="16"/>
              </w:rPr>
              <w:t xml:space="preserve">5mW </w:t>
            </w:r>
            <w:r>
              <w:rPr>
                <w:sz w:val="16"/>
              </w:rPr>
              <w:t>的激光瞄准装置（仅限一个）和控制器、传感器自带指示灯光、配合传感器使用的光源之外，无其它任何光源；除主板的蜂鸣器之外</w:t>
            </w:r>
          </w:p>
          <w:p w:rsidR="00A41667" w:rsidRDefault="00E268B2">
            <w:pPr>
              <w:pStyle w:val="TableParagraph"/>
              <w:jc w:val="both"/>
              <w:rPr>
                <w:sz w:val="16"/>
              </w:rPr>
            </w:pPr>
            <w:r>
              <w:rPr>
                <w:sz w:val="16"/>
              </w:rPr>
              <w:t>不允许有其它发声装置。</w:t>
            </w:r>
          </w:p>
        </w:tc>
        <w:tc>
          <w:tcPr>
            <w:tcW w:w="725" w:type="pct"/>
            <w:vMerge w:val="restart"/>
          </w:tcPr>
          <w:p w:rsidR="00A41667" w:rsidRDefault="00A41667">
            <w:pPr>
              <w:pStyle w:val="TableParagraph"/>
              <w:rPr>
                <w:rFonts w:ascii="Times New Roman"/>
                <w:sz w:val="16"/>
              </w:rPr>
            </w:pPr>
          </w:p>
        </w:tc>
      </w:tr>
      <w:tr w:rsidR="00A41667">
        <w:trPr>
          <w:trHeight w:val="369"/>
        </w:trPr>
        <w:tc>
          <w:tcPr>
            <w:tcW w:w="406" w:type="pct"/>
            <w:vMerge/>
            <w:vAlign w:val="center"/>
          </w:tcPr>
          <w:p w:rsidR="00A41667" w:rsidRDefault="00A41667">
            <w:pPr>
              <w:jc w:val="center"/>
              <w:rPr>
                <w:sz w:val="2"/>
                <w:szCs w:val="2"/>
              </w:rPr>
            </w:pPr>
          </w:p>
        </w:tc>
        <w:tc>
          <w:tcPr>
            <w:tcW w:w="1020" w:type="pct"/>
            <w:vMerge/>
            <w:vAlign w:val="center"/>
          </w:tcPr>
          <w:p w:rsidR="00A41667" w:rsidRDefault="00A41667">
            <w:pPr>
              <w:jc w:val="center"/>
              <w:rPr>
                <w:sz w:val="2"/>
                <w:szCs w:val="2"/>
              </w:rPr>
            </w:pPr>
          </w:p>
        </w:tc>
        <w:tc>
          <w:tcPr>
            <w:tcW w:w="2850" w:type="pct"/>
            <w:vAlign w:val="center"/>
          </w:tcPr>
          <w:p w:rsidR="00A41667" w:rsidRDefault="00E268B2">
            <w:pPr>
              <w:pStyle w:val="TableParagraph"/>
              <w:jc w:val="both"/>
              <w:rPr>
                <w:sz w:val="16"/>
              </w:rPr>
            </w:pPr>
            <w:r>
              <w:rPr>
                <w:sz w:val="16"/>
              </w:rPr>
              <w:t>若使用教学用激光笔改装的激光瞄准装置需要单</w:t>
            </w:r>
            <w:r>
              <w:rPr>
                <w:sz w:val="16"/>
              </w:rPr>
              <w:t xml:space="preserve"> </w:t>
            </w:r>
            <w:r>
              <w:rPr>
                <w:sz w:val="16"/>
              </w:rPr>
              <w:t>独供电，仅可使用装置内置的电池（如干电池），</w:t>
            </w:r>
            <w:r>
              <w:rPr>
                <w:sz w:val="16"/>
              </w:rPr>
              <w:t xml:space="preserve"> </w:t>
            </w:r>
            <w:r>
              <w:rPr>
                <w:sz w:val="16"/>
              </w:rPr>
              <w:t>且不得向机器人供电系统输送能量。如是非常见的激光瞄准设备，需提供相应型号及参数以供查询验证。</w:t>
            </w:r>
          </w:p>
        </w:tc>
        <w:tc>
          <w:tcPr>
            <w:tcW w:w="725" w:type="pct"/>
            <w:vMerge/>
          </w:tcPr>
          <w:p w:rsidR="00A41667" w:rsidRDefault="00A41667">
            <w:pPr>
              <w:rPr>
                <w:sz w:val="2"/>
                <w:szCs w:val="2"/>
              </w:rPr>
            </w:pPr>
          </w:p>
        </w:tc>
      </w:tr>
      <w:tr w:rsidR="00A41667">
        <w:trPr>
          <w:trHeight w:val="369"/>
        </w:trPr>
        <w:tc>
          <w:tcPr>
            <w:tcW w:w="406" w:type="pct"/>
            <w:vAlign w:val="center"/>
          </w:tcPr>
          <w:p w:rsidR="00A41667" w:rsidRDefault="00E268B2">
            <w:pPr>
              <w:pStyle w:val="TableParagraph"/>
              <w:jc w:val="center"/>
              <w:rPr>
                <w:rFonts w:ascii="Times New Roman"/>
                <w:b/>
                <w:sz w:val="16"/>
              </w:rPr>
            </w:pPr>
            <w:r>
              <w:rPr>
                <w:rFonts w:ascii="Times New Roman"/>
                <w:b/>
                <w:sz w:val="16"/>
              </w:rPr>
              <w:t>15</w:t>
            </w:r>
          </w:p>
        </w:tc>
        <w:tc>
          <w:tcPr>
            <w:tcW w:w="1020" w:type="pct"/>
            <w:vAlign w:val="center"/>
          </w:tcPr>
          <w:p w:rsidR="00A41667" w:rsidRDefault="00E268B2">
            <w:pPr>
              <w:pStyle w:val="TableParagraph"/>
              <w:jc w:val="center"/>
              <w:rPr>
                <w:b/>
                <w:sz w:val="16"/>
              </w:rPr>
            </w:pPr>
            <w:r>
              <w:rPr>
                <w:b/>
                <w:sz w:val="16"/>
              </w:rPr>
              <w:t>舵机</w:t>
            </w:r>
          </w:p>
        </w:tc>
        <w:tc>
          <w:tcPr>
            <w:tcW w:w="2850" w:type="pct"/>
            <w:vAlign w:val="center"/>
          </w:tcPr>
          <w:p w:rsidR="00A41667" w:rsidRDefault="00E268B2">
            <w:pPr>
              <w:pStyle w:val="TableParagraph"/>
              <w:jc w:val="both"/>
              <w:rPr>
                <w:sz w:val="16"/>
              </w:rPr>
            </w:pPr>
            <w:r>
              <w:rPr>
                <w:sz w:val="16"/>
              </w:rPr>
              <w:t>参赛队仅能使用官方器材包中的智能舵机或同款智能舵机（</w:t>
            </w:r>
            <w:r>
              <w:rPr>
                <w:rFonts w:ascii="Times New Roman" w:eastAsia="Times New Roman"/>
                <w:sz w:val="16"/>
              </w:rPr>
              <w:t>MS-12A</w:t>
            </w:r>
            <w:r>
              <w:rPr>
                <w:sz w:val="16"/>
              </w:rPr>
              <w:t>），一台机器人上可使用的舵机数量最多</w:t>
            </w:r>
            <w:r>
              <w:rPr>
                <w:sz w:val="16"/>
              </w:rPr>
              <w:t xml:space="preserve"> </w:t>
            </w:r>
            <w:r>
              <w:rPr>
                <w:rFonts w:ascii="Times New Roman" w:eastAsia="Times New Roman"/>
                <w:b/>
                <w:sz w:val="16"/>
              </w:rPr>
              <w:t xml:space="preserve">6 </w:t>
            </w:r>
            <w:r>
              <w:rPr>
                <w:b/>
                <w:sz w:val="16"/>
              </w:rPr>
              <w:t>个</w:t>
            </w:r>
            <w:r>
              <w:rPr>
                <w:sz w:val="16"/>
              </w:rPr>
              <w:t>。</w:t>
            </w:r>
          </w:p>
        </w:tc>
        <w:tc>
          <w:tcPr>
            <w:tcW w:w="725" w:type="pct"/>
          </w:tcPr>
          <w:p w:rsidR="00A41667" w:rsidRDefault="00A41667">
            <w:pPr>
              <w:pStyle w:val="TableParagraph"/>
              <w:rPr>
                <w:rFonts w:ascii="Times New Roman"/>
                <w:sz w:val="16"/>
              </w:rPr>
            </w:pPr>
          </w:p>
        </w:tc>
      </w:tr>
      <w:tr w:rsidR="00A41667">
        <w:trPr>
          <w:trHeight w:val="369"/>
        </w:trPr>
        <w:tc>
          <w:tcPr>
            <w:tcW w:w="406" w:type="pct"/>
            <w:vAlign w:val="center"/>
          </w:tcPr>
          <w:p w:rsidR="00A41667" w:rsidRDefault="00E268B2">
            <w:pPr>
              <w:pStyle w:val="TableParagraph"/>
              <w:jc w:val="center"/>
              <w:rPr>
                <w:rFonts w:ascii="Times New Roman"/>
                <w:b/>
                <w:sz w:val="16"/>
              </w:rPr>
            </w:pPr>
            <w:r>
              <w:rPr>
                <w:rFonts w:ascii="Times New Roman"/>
                <w:b/>
                <w:sz w:val="16"/>
              </w:rPr>
              <w:t>16</w:t>
            </w:r>
          </w:p>
        </w:tc>
        <w:tc>
          <w:tcPr>
            <w:tcW w:w="1020" w:type="pct"/>
            <w:vAlign w:val="center"/>
          </w:tcPr>
          <w:p w:rsidR="00A41667" w:rsidRDefault="00E268B2">
            <w:pPr>
              <w:pStyle w:val="TableParagraph"/>
              <w:jc w:val="center"/>
              <w:rPr>
                <w:b/>
                <w:sz w:val="16"/>
              </w:rPr>
            </w:pPr>
            <w:r>
              <w:rPr>
                <w:b/>
                <w:sz w:val="16"/>
              </w:rPr>
              <w:t>电机</w:t>
            </w:r>
          </w:p>
        </w:tc>
        <w:tc>
          <w:tcPr>
            <w:tcW w:w="2850" w:type="pct"/>
            <w:vAlign w:val="center"/>
          </w:tcPr>
          <w:p w:rsidR="00A41667" w:rsidRDefault="00E268B2">
            <w:pPr>
              <w:pStyle w:val="TableParagraph"/>
              <w:jc w:val="both"/>
              <w:rPr>
                <w:sz w:val="16"/>
              </w:rPr>
            </w:pPr>
            <w:r>
              <w:rPr>
                <w:sz w:val="16"/>
              </w:rPr>
              <w:t>机器人需使用指定的直流电机、编码电机、直流无刷电机，所有电机总共不超过</w:t>
            </w:r>
            <w:r>
              <w:rPr>
                <w:sz w:val="16"/>
              </w:rPr>
              <w:t xml:space="preserve"> </w:t>
            </w:r>
            <w:r>
              <w:rPr>
                <w:rFonts w:ascii="Times New Roman" w:eastAsia="Times New Roman"/>
                <w:sz w:val="16"/>
              </w:rPr>
              <w:t xml:space="preserve">14 </w:t>
            </w:r>
            <w:r>
              <w:rPr>
                <w:sz w:val="16"/>
              </w:rPr>
              <w:t>个，</w:t>
            </w:r>
            <w:r>
              <w:rPr>
                <w:rFonts w:ascii="Times New Roman" w:eastAsia="Times New Roman"/>
                <w:sz w:val="16"/>
              </w:rPr>
              <w:t xml:space="preserve">MS-12A </w:t>
            </w:r>
            <w:r>
              <w:rPr>
                <w:sz w:val="16"/>
              </w:rPr>
              <w:t>不在此限制范围内。</w:t>
            </w:r>
          </w:p>
        </w:tc>
        <w:tc>
          <w:tcPr>
            <w:tcW w:w="725" w:type="pct"/>
          </w:tcPr>
          <w:p w:rsidR="00A41667" w:rsidRDefault="00A41667">
            <w:pPr>
              <w:pStyle w:val="TableParagraph"/>
              <w:rPr>
                <w:rFonts w:ascii="Times New Roman"/>
                <w:sz w:val="16"/>
              </w:rPr>
            </w:pPr>
          </w:p>
        </w:tc>
      </w:tr>
      <w:tr w:rsidR="00A41667">
        <w:trPr>
          <w:trHeight w:val="369"/>
        </w:trPr>
        <w:tc>
          <w:tcPr>
            <w:tcW w:w="406" w:type="pct"/>
            <w:vAlign w:val="center"/>
          </w:tcPr>
          <w:p w:rsidR="00A41667" w:rsidRDefault="00E268B2">
            <w:pPr>
              <w:pStyle w:val="TableParagraph"/>
              <w:jc w:val="center"/>
              <w:rPr>
                <w:rFonts w:ascii="Times New Roman"/>
                <w:b/>
                <w:sz w:val="16"/>
              </w:rPr>
            </w:pPr>
            <w:r>
              <w:rPr>
                <w:rFonts w:ascii="Times New Roman"/>
                <w:b/>
                <w:sz w:val="16"/>
              </w:rPr>
              <w:t>17</w:t>
            </w:r>
          </w:p>
        </w:tc>
        <w:tc>
          <w:tcPr>
            <w:tcW w:w="1020" w:type="pct"/>
            <w:vAlign w:val="center"/>
          </w:tcPr>
          <w:p w:rsidR="00A41667" w:rsidRDefault="00E268B2">
            <w:pPr>
              <w:pStyle w:val="TableParagraph"/>
              <w:jc w:val="center"/>
              <w:rPr>
                <w:b/>
                <w:sz w:val="16"/>
              </w:rPr>
            </w:pPr>
            <w:r>
              <w:rPr>
                <w:b/>
                <w:sz w:val="16"/>
              </w:rPr>
              <w:t>结构尖角</w:t>
            </w:r>
          </w:p>
        </w:tc>
        <w:tc>
          <w:tcPr>
            <w:tcW w:w="2850" w:type="pct"/>
            <w:vAlign w:val="center"/>
          </w:tcPr>
          <w:p w:rsidR="00A41667" w:rsidRDefault="00E268B2">
            <w:pPr>
              <w:pStyle w:val="TableParagraph"/>
              <w:jc w:val="both"/>
              <w:rPr>
                <w:sz w:val="16"/>
              </w:rPr>
            </w:pPr>
            <w:r>
              <w:rPr>
                <w:sz w:val="16"/>
              </w:rPr>
              <w:t>机器人外露的尖锐结构应包裹海绵等软质材料。</w:t>
            </w:r>
          </w:p>
        </w:tc>
        <w:tc>
          <w:tcPr>
            <w:tcW w:w="725" w:type="pct"/>
          </w:tcPr>
          <w:p w:rsidR="00A41667" w:rsidRDefault="00A41667">
            <w:pPr>
              <w:pStyle w:val="TableParagraph"/>
              <w:rPr>
                <w:rFonts w:ascii="Times New Roman"/>
                <w:sz w:val="16"/>
              </w:rPr>
            </w:pPr>
          </w:p>
        </w:tc>
      </w:tr>
      <w:tr w:rsidR="00A41667">
        <w:trPr>
          <w:trHeight w:val="369"/>
        </w:trPr>
        <w:tc>
          <w:tcPr>
            <w:tcW w:w="406" w:type="pct"/>
            <w:vAlign w:val="center"/>
          </w:tcPr>
          <w:p w:rsidR="00A41667" w:rsidRDefault="00E268B2">
            <w:pPr>
              <w:pStyle w:val="TableParagraph"/>
              <w:jc w:val="center"/>
              <w:rPr>
                <w:rFonts w:ascii="Times New Roman"/>
                <w:b/>
                <w:sz w:val="16"/>
              </w:rPr>
            </w:pPr>
            <w:r>
              <w:rPr>
                <w:rFonts w:ascii="Times New Roman"/>
                <w:b/>
                <w:sz w:val="16"/>
              </w:rPr>
              <w:t>18</w:t>
            </w:r>
          </w:p>
        </w:tc>
        <w:tc>
          <w:tcPr>
            <w:tcW w:w="1020" w:type="pct"/>
            <w:vAlign w:val="center"/>
          </w:tcPr>
          <w:p w:rsidR="00A41667" w:rsidRDefault="00E268B2">
            <w:pPr>
              <w:pStyle w:val="TableParagraph"/>
              <w:jc w:val="center"/>
              <w:rPr>
                <w:b/>
                <w:sz w:val="16"/>
              </w:rPr>
            </w:pPr>
            <w:r>
              <w:rPr>
                <w:b/>
                <w:sz w:val="16"/>
              </w:rPr>
              <w:t>分离</w:t>
            </w:r>
            <w:r>
              <w:rPr>
                <w:b/>
                <w:sz w:val="16"/>
              </w:rPr>
              <w:t>/</w:t>
            </w:r>
            <w:r>
              <w:rPr>
                <w:b/>
                <w:sz w:val="16"/>
              </w:rPr>
              <w:t>脱落</w:t>
            </w:r>
          </w:p>
        </w:tc>
        <w:tc>
          <w:tcPr>
            <w:tcW w:w="2850" w:type="pct"/>
            <w:vAlign w:val="center"/>
          </w:tcPr>
          <w:p w:rsidR="00A41667" w:rsidRDefault="00E268B2">
            <w:pPr>
              <w:pStyle w:val="TableParagraph"/>
              <w:jc w:val="both"/>
              <w:rPr>
                <w:sz w:val="16"/>
              </w:rPr>
            </w:pPr>
            <w:r>
              <w:rPr>
                <w:sz w:val="16"/>
              </w:rPr>
              <w:t>机器人不得有可能在比赛中与主体分离的部件。</w:t>
            </w:r>
          </w:p>
        </w:tc>
        <w:tc>
          <w:tcPr>
            <w:tcW w:w="725" w:type="pct"/>
          </w:tcPr>
          <w:p w:rsidR="00A41667" w:rsidRDefault="00A41667">
            <w:pPr>
              <w:pStyle w:val="TableParagraph"/>
              <w:rPr>
                <w:rFonts w:ascii="Times New Roman"/>
                <w:sz w:val="16"/>
              </w:rPr>
            </w:pPr>
          </w:p>
        </w:tc>
      </w:tr>
      <w:tr w:rsidR="00A41667">
        <w:trPr>
          <w:trHeight w:val="369"/>
        </w:trPr>
        <w:tc>
          <w:tcPr>
            <w:tcW w:w="406" w:type="pct"/>
            <w:vAlign w:val="center"/>
          </w:tcPr>
          <w:p w:rsidR="00A41667" w:rsidRDefault="00E268B2">
            <w:pPr>
              <w:pStyle w:val="TableParagraph"/>
              <w:jc w:val="center"/>
              <w:rPr>
                <w:rFonts w:ascii="Times New Roman"/>
                <w:b/>
                <w:sz w:val="16"/>
              </w:rPr>
            </w:pPr>
            <w:r>
              <w:rPr>
                <w:rFonts w:ascii="Times New Roman"/>
                <w:b/>
                <w:sz w:val="16"/>
              </w:rPr>
              <w:t>19</w:t>
            </w:r>
          </w:p>
        </w:tc>
        <w:tc>
          <w:tcPr>
            <w:tcW w:w="1020" w:type="pct"/>
            <w:vAlign w:val="center"/>
          </w:tcPr>
          <w:p w:rsidR="00A41667" w:rsidRDefault="00E268B2">
            <w:pPr>
              <w:pStyle w:val="TableParagraph"/>
              <w:jc w:val="center"/>
              <w:rPr>
                <w:b/>
                <w:sz w:val="16"/>
              </w:rPr>
            </w:pPr>
            <w:r>
              <w:rPr>
                <w:b/>
                <w:sz w:val="16"/>
              </w:rPr>
              <w:t>干扰</w:t>
            </w:r>
          </w:p>
        </w:tc>
        <w:tc>
          <w:tcPr>
            <w:tcW w:w="2850" w:type="pct"/>
            <w:vAlign w:val="center"/>
          </w:tcPr>
          <w:p w:rsidR="00A41667" w:rsidRDefault="00E268B2">
            <w:pPr>
              <w:pStyle w:val="TableParagraph"/>
              <w:jc w:val="both"/>
              <w:rPr>
                <w:sz w:val="16"/>
              </w:rPr>
            </w:pPr>
            <w:r>
              <w:rPr>
                <w:sz w:val="16"/>
              </w:rPr>
              <w:t>不干扰其它机器人的电子部件和传感器。</w:t>
            </w:r>
          </w:p>
        </w:tc>
        <w:tc>
          <w:tcPr>
            <w:tcW w:w="725" w:type="pct"/>
          </w:tcPr>
          <w:p w:rsidR="00A41667" w:rsidRDefault="00A41667">
            <w:pPr>
              <w:pStyle w:val="TableParagraph"/>
              <w:rPr>
                <w:rFonts w:ascii="Times New Roman"/>
                <w:sz w:val="16"/>
              </w:rPr>
            </w:pPr>
          </w:p>
        </w:tc>
      </w:tr>
      <w:tr w:rsidR="00A41667">
        <w:trPr>
          <w:trHeight w:val="369"/>
        </w:trPr>
        <w:tc>
          <w:tcPr>
            <w:tcW w:w="406" w:type="pct"/>
            <w:vAlign w:val="center"/>
          </w:tcPr>
          <w:p w:rsidR="00A41667" w:rsidRDefault="00E268B2">
            <w:pPr>
              <w:pStyle w:val="TableParagraph"/>
              <w:jc w:val="center"/>
              <w:rPr>
                <w:rFonts w:ascii="Times New Roman"/>
                <w:b/>
                <w:sz w:val="16"/>
              </w:rPr>
            </w:pPr>
            <w:r>
              <w:rPr>
                <w:rFonts w:ascii="Times New Roman"/>
                <w:b/>
                <w:sz w:val="16"/>
              </w:rPr>
              <w:t>20</w:t>
            </w:r>
          </w:p>
        </w:tc>
        <w:tc>
          <w:tcPr>
            <w:tcW w:w="1020" w:type="pct"/>
            <w:vAlign w:val="center"/>
          </w:tcPr>
          <w:p w:rsidR="00A41667" w:rsidRDefault="00E268B2">
            <w:pPr>
              <w:pStyle w:val="TableParagraph"/>
              <w:jc w:val="center"/>
              <w:rPr>
                <w:b/>
                <w:sz w:val="16"/>
              </w:rPr>
            </w:pPr>
            <w:r>
              <w:rPr>
                <w:b/>
                <w:sz w:val="16"/>
              </w:rPr>
              <w:t>参赛队编号</w:t>
            </w:r>
          </w:p>
        </w:tc>
        <w:tc>
          <w:tcPr>
            <w:tcW w:w="2850" w:type="pct"/>
            <w:vAlign w:val="center"/>
          </w:tcPr>
          <w:p w:rsidR="00A41667" w:rsidRDefault="00E268B2">
            <w:pPr>
              <w:pStyle w:val="TableParagraph"/>
              <w:jc w:val="both"/>
              <w:rPr>
                <w:sz w:val="16"/>
              </w:rPr>
            </w:pPr>
            <w:r>
              <w:rPr>
                <w:sz w:val="16"/>
              </w:rPr>
              <w:t>印刷字体应为微软雅黑、黑色加粗、字号</w:t>
            </w:r>
            <w:r>
              <w:rPr>
                <w:sz w:val="16"/>
              </w:rPr>
              <w:t xml:space="preserve"> </w:t>
            </w:r>
            <w:r>
              <w:rPr>
                <w:rFonts w:ascii="Times New Roman" w:eastAsia="Times New Roman"/>
                <w:sz w:val="16"/>
              </w:rPr>
              <w:t>130</w:t>
            </w:r>
            <w:r>
              <w:rPr>
                <w:sz w:val="16"/>
              </w:rPr>
              <w:t>（单个字符高于</w:t>
            </w:r>
            <w:r>
              <w:rPr>
                <w:sz w:val="16"/>
              </w:rPr>
              <w:t xml:space="preserve"> </w:t>
            </w:r>
            <w:r>
              <w:rPr>
                <w:rFonts w:ascii="Times New Roman" w:eastAsia="Times New Roman"/>
                <w:sz w:val="16"/>
              </w:rPr>
              <w:t>3.5cm</w:t>
            </w:r>
            <w:r>
              <w:rPr>
                <w:sz w:val="16"/>
              </w:rPr>
              <w:t>），背景为浅色。</w:t>
            </w:r>
          </w:p>
        </w:tc>
        <w:tc>
          <w:tcPr>
            <w:tcW w:w="725" w:type="pct"/>
          </w:tcPr>
          <w:p w:rsidR="00A41667" w:rsidRDefault="00A41667">
            <w:pPr>
              <w:pStyle w:val="TableParagraph"/>
              <w:rPr>
                <w:rFonts w:ascii="Times New Roman"/>
                <w:sz w:val="16"/>
              </w:rPr>
            </w:pPr>
          </w:p>
        </w:tc>
      </w:tr>
      <w:tr w:rsidR="00A41667">
        <w:trPr>
          <w:trHeight w:val="369"/>
        </w:trPr>
        <w:tc>
          <w:tcPr>
            <w:tcW w:w="406" w:type="pct"/>
            <w:vAlign w:val="center"/>
          </w:tcPr>
          <w:p w:rsidR="00A41667" w:rsidRDefault="00E268B2">
            <w:pPr>
              <w:pStyle w:val="TableParagraph"/>
              <w:jc w:val="center"/>
              <w:rPr>
                <w:rFonts w:ascii="Times New Roman"/>
                <w:b/>
                <w:sz w:val="16"/>
              </w:rPr>
            </w:pPr>
            <w:r>
              <w:rPr>
                <w:rFonts w:ascii="Times New Roman"/>
                <w:b/>
                <w:sz w:val="16"/>
              </w:rPr>
              <w:t>21</w:t>
            </w:r>
          </w:p>
        </w:tc>
        <w:tc>
          <w:tcPr>
            <w:tcW w:w="1020" w:type="pct"/>
            <w:vAlign w:val="center"/>
          </w:tcPr>
          <w:p w:rsidR="00A41667" w:rsidRDefault="00E268B2">
            <w:pPr>
              <w:pStyle w:val="TableParagraph"/>
              <w:jc w:val="center"/>
              <w:rPr>
                <w:b/>
                <w:sz w:val="16"/>
              </w:rPr>
            </w:pPr>
            <w:r>
              <w:rPr>
                <w:b/>
                <w:sz w:val="16"/>
              </w:rPr>
              <w:t>工程笔记</w:t>
            </w:r>
          </w:p>
        </w:tc>
        <w:tc>
          <w:tcPr>
            <w:tcW w:w="2850" w:type="pct"/>
            <w:vAlign w:val="center"/>
          </w:tcPr>
          <w:p w:rsidR="00A41667" w:rsidRDefault="00E268B2">
            <w:pPr>
              <w:pStyle w:val="TableParagraph"/>
              <w:jc w:val="both"/>
              <w:rPr>
                <w:sz w:val="16"/>
              </w:rPr>
            </w:pPr>
            <w:r>
              <w:rPr>
                <w:sz w:val="16"/>
              </w:rPr>
              <w:t>比赛前提交包含机器人控制源代码的工程笔记。</w:t>
            </w:r>
          </w:p>
        </w:tc>
        <w:tc>
          <w:tcPr>
            <w:tcW w:w="725" w:type="pct"/>
          </w:tcPr>
          <w:p w:rsidR="00A41667" w:rsidRDefault="00A41667">
            <w:pPr>
              <w:pStyle w:val="TableParagraph"/>
              <w:rPr>
                <w:rFonts w:ascii="Times New Roman"/>
                <w:sz w:val="16"/>
              </w:rPr>
            </w:pPr>
          </w:p>
        </w:tc>
      </w:tr>
      <w:tr w:rsidR="00A41667">
        <w:trPr>
          <w:trHeight w:val="369"/>
        </w:trPr>
        <w:tc>
          <w:tcPr>
            <w:tcW w:w="406" w:type="pct"/>
            <w:vAlign w:val="center"/>
          </w:tcPr>
          <w:p w:rsidR="00A41667" w:rsidRDefault="00E268B2">
            <w:pPr>
              <w:pStyle w:val="TableParagraph"/>
              <w:jc w:val="center"/>
              <w:rPr>
                <w:rFonts w:ascii="Times New Roman"/>
                <w:b/>
                <w:sz w:val="16"/>
              </w:rPr>
            </w:pPr>
            <w:r>
              <w:rPr>
                <w:rFonts w:ascii="Times New Roman"/>
                <w:b/>
                <w:sz w:val="16"/>
              </w:rPr>
              <w:t>22</w:t>
            </w:r>
          </w:p>
        </w:tc>
        <w:tc>
          <w:tcPr>
            <w:tcW w:w="1020" w:type="pct"/>
            <w:vAlign w:val="center"/>
          </w:tcPr>
          <w:p w:rsidR="00A41667" w:rsidRDefault="00E268B2">
            <w:pPr>
              <w:pStyle w:val="TableParagraph"/>
              <w:jc w:val="center"/>
              <w:rPr>
                <w:b/>
                <w:sz w:val="16"/>
              </w:rPr>
            </w:pPr>
            <w:r>
              <w:rPr>
                <w:b/>
                <w:sz w:val="16"/>
              </w:rPr>
              <w:t>场地污染</w:t>
            </w:r>
          </w:p>
        </w:tc>
        <w:tc>
          <w:tcPr>
            <w:tcW w:w="2850" w:type="pct"/>
            <w:vAlign w:val="center"/>
          </w:tcPr>
          <w:p w:rsidR="00A41667" w:rsidRDefault="00E268B2">
            <w:pPr>
              <w:pStyle w:val="TableParagraph"/>
              <w:jc w:val="both"/>
              <w:rPr>
                <w:sz w:val="16"/>
              </w:rPr>
            </w:pPr>
            <w:r>
              <w:rPr>
                <w:sz w:val="16"/>
              </w:rPr>
              <w:t>机器人使用的润滑油等材料不得污染赛场或其他机器人。</w:t>
            </w:r>
          </w:p>
        </w:tc>
        <w:tc>
          <w:tcPr>
            <w:tcW w:w="725" w:type="pct"/>
          </w:tcPr>
          <w:p w:rsidR="00A41667" w:rsidRDefault="00A41667">
            <w:pPr>
              <w:pStyle w:val="TableParagraph"/>
              <w:rPr>
                <w:rFonts w:ascii="Times New Roman"/>
                <w:sz w:val="16"/>
              </w:rPr>
            </w:pPr>
          </w:p>
        </w:tc>
      </w:tr>
    </w:tbl>
    <w:p w:rsidR="00A41667" w:rsidRDefault="00A41667">
      <w:pPr>
        <w:rPr>
          <w:rFonts w:ascii="Times New Roman"/>
          <w:sz w:val="16"/>
        </w:rPr>
        <w:sectPr w:rsidR="00A41667">
          <w:pgSz w:w="11910" w:h="16840"/>
          <w:pgMar w:top="1440" w:right="1077" w:bottom="1440" w:left="1077" w:header="851" w:footer="992" w:gutter="0"/>
          <w:cols w:space="720"/>
          <w:docGrid w:type="lines" w:linePitch="317"/>
        </w:sectPr>
      </w:pPr>
    </w:p>
    <w:p w:rsidR="00A41667" w:rsidRDefault="00E268B2">
      <w:pPr>
        <w:pStyle w:val="01"/>
        <w:spacing w:before="158" w:after="158"/>
        <w:rPr>
          <w:color w:val="auto"/>
        </w:rPr>
      </w:pPr>
      <w:bookmarkStart w:id="39" w:name="_Toc66889995"/>
      <w:r>
        <w:rPr>
          <w:color w:val="auto"/>
        </w:rPr>
        <w:lastRenderedPageBreak/>
        <w:t>附录</w:t>
      </w:r>
      <w:r>
        <w:rPr>
          <w:color w:val="auto"/>
        </w:rPr>
        <w:t xml:space="preserve"> 3</w:t>
      </w:r>
      <w:r>
        <w:rPr>
          <w:color w:val="auto"/>
        </w:rPr>
        <w:t>：犯规判罚表</w:t>
      </w:r>
      <w:bookmarkEnd w:id="39"/>
    </w:p>
    <w:tbl>
      <w:tblPr>
        <w:tblStyle w:val="a7"/>
        <w:tblW w:w="5000" w:type="pct"/>
        <w:tblLook w:val="04A0" w:firstRow="1" w:lastRow="0" w:firstColumn="1" w:lastColumn="0" w:noHBand="0" w:noVBand="1"/>
      </w:tblPr>
      <w:tblGrid>
        <w:gridCol w:w="880"/>
        <w:gridCol w:w="2264"/>
        <w:gridCol w:w="3476"/>
        <w:gridCol w:w="543"/>
        <w:gridCol w:w="558"/>
        <w:gridCol w:w="571"/>
        <w:gridCol w:w="542"/>
        <w:gridCol w:w="912"/>
      </w:tblGrid>
      <w:tr w:rsidR="00A41667">
        <w:trPr>
          <w:trHeight w:val="397"/>
        </w:trPr>
        <w:tc>
          <w:tcPr>
            <w:tcW w:w="451" w:type="pct"/>
            <w:vAlign w:val="center"/>
          </w:tcPr>
          <w:p w:rsidR="00A41667" w:rsidRDefault="00E268B2">
            <w:pPr>
              <w:pStyle w:val="TableParagraph"/>
              <w:snapToGrid w:val="0"/>
              <w:jc w:val="center"/>
              <w:rPr>
                <w:b/>
                <w:sz w:val="16"/>
              </w:rPr>
            </w:pPr>
            <w:r>
              <w:rPr>
                <w:b/>
                <w:sz w:val="16"/>
              </w:rPr>
              <w:t>违规范围</w:t>
            </w:r>
          </w:p>
        </w:tc>
        <w:tc>
          <w:tcPr>
            <w:tcW w:w="1160" w:type="pct"/>
            <w:vAlign w:val="center"/>
          </w:tcPr>
          <w:p w:rsidR="00A41667" w:rsidRDefault="00E268B2">
            <w:pPr>
              <w:pStyle w:val="TableParagraph"/>
              <w:snapToGrid w:val="0"/>
              <w:jc w:val="center"/>
              <w:rPr>
                <w:b/>
                <w:sz w:val="16"/>
              </w:rPr>
            </w:pPr>
            <w:r>
              <w:rPr>
                <w:b/>
                <w:sz w:val="16"/>
              </w:rPr>
              <w:t>违规项目</w:t>
            </w:r>
          </w:p>
        </w:tc>
        <w:tc>
          <w:tcPr>
            <w:tcW w:w="1782" w:type="pct"/>
            <w:vAlign w:val="center"/>
          </w:tcPr>
          <w:p w:rsidR="00A41667" w:rsidRDefault="00E268B2">
            <w:pPr>
              <w:pStyle w:val="TableParagraph"/>
              <w:snapToGrid w:val="0"/>
              <w:jc w:val="center"/>
              <w:rPr>
                <w:b/>
                <w:sz w:val="16"/>
              </w:rPr>
            </w:pPr>
            <w:r>
              <w:rPr>
                <w:b/>
                <w:sz w:val="16"/>
              </w:rPr>
              <w:t>规则概述</w:t>
            </w:r>
          </w:p>
        </w:tc>
        <w:tc>
          <w:tcPr>
            <w:tcW w:w="278" w:type="pct"/>
            <w:vAlign w:val="center"/>
          </w:tcPr>
          <w:p w:rsidR="00A41667" w:rsidRDefault="00E268B2">
            <w:pPr>
              <w:pStyle w:val="TableParagraph"/>
              <w:snapToGrid w:val="0"/>
              <w:jc w:val="center"/>
              <w:rPr>
                <w:b/>
                <w:sz w:val="16"/>
              </w:rPr>
            </w:pPr>
            <w:r>
              <w:rPr>
                <w:b/>
                <w:sz w:val="16"/>
              </w:rPr>
              <w:t>违例</w:t>
            </w:r>
          </w:p>
        </w:tc>
        <w:tc>
          <w:tcPr>
            <w:tcW w:w="286" w:type="pct"/>
            <w:vAlign w:val="center"/>
          </w:tcPr>
          <w:p w:rsidR="00A41667" w:rsidRDefault="00E268B2">
            <w:pPr>
              <w:pStyle w:val="TableParagraph"/>
              <w:snapToGrid w:val="0"/>
              <w:jc w:val="center"/>
              <w:rPr>
                <w:b/>
                <w:sz w:val="16"/>
              </w:rPr>
            </w:pPr>
            <w:r>
              <w:rPr>
                <w:b/>
                <w:sz w:val="16"/>
              </w:rPr>
              <w:t>黄牌</w:t>
            </w:r>
          </w:p>
        </w:tc>
        <w:tc>
          <w:tcPr>
            <w:tcW w:w="293" w:type="pct"/>
            <w:vAlign w:val="center"/>
          </w:tcPr>
          <w:p w:rsidR="00A41667" w:rsidRDefault="00E268B2">
            <w:pPr>
              <w:pStyle w:val="TableParagraph"/>
              <w:snapToGrid w:val="0"/>
              <w:jc w:val="center"/>
              <w:rPr>
                <w:b/>
                <w:sz w:val="16"/>
              </w:rPr>
            </w:pPr>
            <w:r>
              <w:rPr>
                <w:b/>
                <w:sz w:val="16"/>
              </w:rPr>
              <w:t>红牌</w:t>
            </w:r>
          </w:p>
        </w:tc>
        <w:tc>
          <w:tcPr>
            <w:tcW w:w="278" w:type="pct"/>
            <w:vAlign w:val="center"/>
          </w:tcPr>
          <w:p w:rsidR="00A41667" w:rsidRDefault="00E268B2">
            <w:pPr>
              <w:pStyle w:val="TableParagraph"/>
              <w:snapToGrid w:val="0"/>
              <w:jc w:val="center"/>
              <w:rPr>
                <w:b/>
                <w:sz w:val="16"/>
              </w:rPr>
            </w:pPr>
            <w:r>
              <w:rPr>
                <w:b/>
                <w:sz w:val="16"/>
              </w:rPr>
              <w:t>禁用</w:t>
            </w:r>
          </w:p>
        </w:tc>
        <w:tc>
          <w:tcPr>
            <w:tcW w:w="468" w:type="pct"/>
            <w:vAlign w:val="center"/>
          </w:tcPr>
          <w:p w:rsidR="00A41667" w:rsidRDefault="00E268B2">
            <w:pPr>
              <w:pStyle w:val="TableParagraph"/>
              <w:snapToGrid w:val="0"/>
              <w:jc w:val="center"/>
              <w:rPr>
                <w:b/>
                <w:sz w:val="16"/>
              </w:rPr>
            </w:pPr>
            <w:r>
              <w:rPr>
                <w:b/>
                <w:sz w:val="16"/>
              </w:rPr>
              <w:t>取消资格</w:t>
            </w:r>
          </w:p>
        </w:tc>
      </w:tr>
      <w:tr w:rsidR="00A41667">
        <w:trPr>
          <w:trHeight w:val="397"/>
        </w:trPr>
        <w:tc>
          <w:tcPr>
            <w:tcW w:w="451" w:type="pct"/>
            <w:vAlign w:val="center"/>
          </w:tcPr>
          <w:p w:rsidR="00A41667" w:rsidRDefault="00E268B2">
            <w:pPr>
              <w:pStyle w:val="TableParagraph"/>
              <w:snapToGrid w:val="0"/>
              <w:jc w:val="center"/>
              <w:rPr>
                <w:b/>
                <w:sz w:val="16"/>
              </w:rPr>
            </w:pPr>
            <w:r>
              <w:rPr>
                <w:b/>
                <w:sz w:val="16"/>
              </w:rPr>
              <w:t>检查规则</w:t>
            </w:r>
          </w:p>
        </w:tc>
        <w:tc>
          <w:tcPr>
            <w:tcW w:w="1160" w:type="pct"/>
            <w:vAlign w:val="center"/>
          </w:tcPr>
          <w:p w:rsidR="00A41667" w:rsidRDefault="00E268B2">
            <w:pPr>
              <w:pStyle w:val="TableParagraph"/>
              <w:snapToGrid w:val="0"/>
              <w:jc w:val="center"/>
              <w:rPr>
                <w:b/>
                <w:sz w:val="16"/>
              </w:rPr>
            </w:pPr>
            <w:r>
              <w:rPr>
                <w:b/>
                <w:sz w:val="16"/>
              </w:rPr>
              <w:t>使用不符合检查状态的机器人上场比赛</w:t>
            </w:r>
          </w:p>
        </w:tc>
        <w:tc>
          <w:tcPr>
            <w:tcW w:w="1782" w:type="pct"/>
            <w:vAlign w:val="center"/>
          </w:tcPr>
          <w:p w:rsidR="00A41667" w:rsidRDefault="00E268B2">
            <w:pPr>
              <w:pStyle w:val="TableParagraph"/>
              <w:snapToGrid w:val="0"/>
              <w:jc w:val="both"/>
              <w:rPr>
                <w:sz w:val="16"/>
              </w:rPr>
            </w:pPr>
            <w:r>
              <w:rPr>
                <w:sz w:val="16"/>
              </w:rPr>
              <w:t>如发现机器人不符合检查时的状态需重新改装，通过检查后方可上场</w:t>
            </w:r>
          </w:p>
        </w:tc>
        <w:tc>
          <w:tcPr>
            <w:tcW w:w="278" w:type="pct"/>
            <w:vAlign w:val="center"/>
          </w:tcPr>
          <w:p w:rsidR="00A41667" w:rsidRDefault="00A41667">
            <w:pPr>
              <w:pStyle w:val="TableParagraph"/>
              <w:snapToGrid w:val="0"/>
              <w:jc w:val="center"/>
              <w:rPr>
                <w:rFonts w:ascii="Times New Roman"/>
                <w:sz w:val="16"/>
              </w:rPr>
            </w:pPr>
          </w:p>
        </w:tc>
        <w:tc>
          <w:tcPr>
            <w:tcW w:w="286" w:type="pct"/>
            <w:vAlign w:val="center"/>
          </w:tcPr>
          <w:p w:rsidR="00A41667" w:rsidRDefault="00A41667">
            <w:pPr>
              <w:pStyle w:val="TableParagraph"/>
              <w:snapToGrid w:val="0"/>
              <w:jc w:val="center"/>
              <w:rPr>
                <w:rFonts w:ascii="Times New Roman"/>
                <w:sz w:val="16"/>
              </w:rPr>
            </w:pPr>
          </w:p>
        </w:tc>
        <w:tc>
          <w:tcPr>
            <w:tcW w:w="293" w:type="pct"/>
            <w:vAlign w:val="center"/>
          </w:tcPr>
          <w:p w:rsidR="00A41667" w:rsidRDefault="00A41667">
            <w:pPr>
              <w:pStyle w:val="TableParagraph"/>
              <w:snapToGrid w:val="0"/>
              <w:jc w:val="center"/>
              <w:rPr>
                <w:rFonts w:ascii="Times New Roman"/>
                <w:sz w:val="16"/>
              </w:rPr>
            </w:pPr>
          </w:p>
        </w:tc>
        <w:tc>
          <w:tcPr>
            <w:tcW w:w="278" w:type="pct"/>
            <w:vAlign w:val="center"/>
          </w:tcPr>
          <w:p w:rsidR="00A41667" w:rsidRDefault="00A41667">
            <w:pPr>
              <w:pStyle w:val="TableParagraph"/>
              <w:snapToGrid w:val="0"/>
              <w:jc w:val="center"/>
              <w:rPr>
                <w:rFonts w:ascii="Times New Roman"/>
                <w:sz w:val="16"/>
              </w:rPr>
            </w:pPr>
          </w:p>
        </w:tc>
        <w:tc>
          <w:tcPr>
            <w:tcW w:w="468"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r>
      <w:tr w:rsidR="00A41667">
        <w:trPr>
          <w:trHeight w:val="397"/>
        </w:trPr>
        <w:tc>
          <w:tcPr>
            <w:tcW w:w="451" w:type="pct"/>
            <w:vMerge w:val="restart"/>
            <w:vAlign w:val="center"/>
          </w:tcPr>
          <w:p w:rsidR="00A41667" w:rsidRDefault="00E268B2">
            <w:pPr>
              <w:pStyle w:val="TableParagraph"/>
              <w:snapToGrid w:val="0"/>
              <w:jc w:val="center"/>
              <w:rPr>
                <w:b/>
                <w:sz w:val="16"/>
              </w:rPr>
            </w:pPr>
            <w:r>
              <w:rPr>
                <w:b/>
                <w:sz w:val="16"/>
              </w:rPr>
              <w:t>安全</w:t>
            </w:r>
          </w:p>
        </w:tc>
        <w:tc>
          <w:tcPr>
            <w:tcW w:w="1160" w:type="pct"/>
            <w:vAlign w:val="center"/>
          </w:tcPr>
          <w:p w:rsidR="00A41667" w:rsidRDefault="00E268B2">
            <w:pPr>
              <w:pStyle w:val="TableParagraph"/>
              <w:snapToGrid w:val="0"/>
              <w:jc w:val="center"/>
              <w:rPr>
                <w:b/>
                <w:sz w:val="16"/>
              </w:rPr>
            </w:pPr>
            <w:r>
              <w:rPr>
                <w:b/>
                <w:sz w:val="16"/>
              </w:rPr>
              <w:t>危险结构</w:t>
            </w:r>
          </w:p>
        </w:tc>
        <w:tc>
          <w:tcPr>
            <w:tcW w:w="1782" w:type="pct"/>
            <w:vAlign w:val="center"/>
          </w:tcPr>
          <w:p w:rsidR="00A41667" w:rsidRDefault="00E268B2">
            <w:pPr>
              <w:pStyle w:val="TableParagraph"/>
              <w:snapToGrid w:val="0"/>
              <w:jc w:val="both"/>
              <w:rPr>
                <w:sz w:val="16"/>
              </w:rPr>
            </w:pPr>
            <w:r>
              <w:rPr>
                <w:sz w:val="16"/>
              </w:rPr>
              <w:t>发现机器人的结构可能伤害到人，警告后应马上整改</w:t>
            </w:r>
          </w:p>
        </w:tc>
        <w:tc>
          <w:tcPr>
            <w:tcW w:w="278" w:type="pct"/>
            <w:vAlign w:val="center"/>
          </w:tcPr>
          <w:p w:rsidR="00A41667" w:rsidRDefault="00A41667">
            <w:pPr>
              <w:pStyle w:val="TableParagraph"/>
              <w:snapToGrid w:val="0"/>
              <w:jc w:val="center"/>
              <w:rPr>
                <w:rFonts w:ascii="Times New Roman"/>
                <w:sz w:val="16"/>
              </w:rPr>
            </w:pPr>
          </w:p>
        </w:tc>
        <w:tc>
          <w:tcPr>
            <w:tcW w:w="286" w:type="pct"/>
            <w:vAlign w:val="center"/>
          </w:tcPr>
          <w:p w:rsidR="00A41667" w:rsidRDefault="00A41667">
            <w:pPr>
              <w:pStyle w:val="TableParagraph"/>
              <w:snapToGrid w:val="0"/>
              <w:jc w:val="center"/>
              <w:rPr>
                <w:rFonts w:ascii="Times New Roman"/>
                <w:sz w:val="16"/>
              </w:rPr>
            </w:pPr>
          </w:p>
        </w:tc>
        <w:tc>
          <w:tcPr>
            <w:tcW w:w="293" w:type="pct"/>
            <w:vAlign w:val="center"/>
          </w:tcPr>
          <w:p w:rsidR="00A41667" w:rsidRDefault="00A41667">
            <w:pPr>
              <w:pStyle w:val="TableParagraph"/>
              <w:snapToGrid w:val="0"/>
              <w:jc w:val="center"/>
              <w:rPr>
                <w:rFonts w:ascii="Times New Roman"/>
                <w:sz w:val="16"/>
              </w:rPr>
            </w:pPr>
          </w:p>
        </w:tc>
        <w:tc>
          <w:tcPr>
            <w:tcW w:w="278"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c>
          <w:tcPr>
            <w:tcW w:w="468" w:type="pct"/>
            <w:vAlign w:val="center"/>
          </w:tcPr>
          <w:p w:rsidR="00A41667" w:rsidRDefault="00A41667">
            <w:pPr>
              <w:pStyle w:val="TableParagraph"/>
              <w:snapToGrid w:val="0"/>
              <w:jc w:val="center"/>
              <w:rPr>
                <w:rFonts w:ascii="Times New Roman"/>
                <w:sz w:val="16"/>
              </w:rPr>
            </w:pPr>
          </w:p>
        </w:tc>
      </w:tr>
      <w:tr w:rsidR="00A41667">
        <w:trPr>
          <w:trHeight w:val="397"/>
        </w:trPr>
        <w:tc>
          <w:tcPr>
            <w:tcW w:w="451" w:type="pct"/>
            <w:vMerge/>
            <w:vAlign w:val="center"/>
          </w:tcPr>
          <w:p w:rsidR="00A41667" w:rsidRDefault="00A41667">
            <w:pPr>
              <w:snapToGrid w:val="0"/>
              <w:jc w:val="center"/>
              <w:rPr>
                <w:sz w:val="2"/>
                <w:szCs w:val="2"/>
              </w:rPr>
            </w:pPr>
          </w:p>
        </w:tc>
        <w:tc>
          <w:tcPr>
            <w:tcW w:w="1160" w:type="pct"/>
            <w:vAlign w:val="center"/>
          </w:tcPr>
          <w:p w:rsidR="00A41667" w:rsidRDefault="00E268B2">
            <w:pPr>
              <w:pStyle w:val="TableParagraph"/>
              <w:snapToGrid w:val="0"/>
              <w:jc w:val="center"/>
              <w:rPr>
                <w:b/>
                <w:sz w:val="16"/>
              </w:rPr>
            </w:pPr>
            <w:r>
              <w:rPr>
                <w:b/>
                <w:sz w:val="16"/>
              </w:rPr>
              <w:t>破坏场地或其它机器人</w:t>
            </w:r>
          </w:p>
        </w:tc>
        <w:tc>
          <w:tcPr>
            <w:tcW w:w="1782" w:type="pct"/>
            <w:vAlign w:val="center"/>
          </w:tcPr>
          <w:p w:rsidR="00A41667" w:rsidRDefault="00E268B2">
            <w:pPr>
              <w:pStyle w:val="TableParagraph"/>
              <w:snapToGrid w:val="0"/>
              <w:jc w:val="both"/>
              <w:rPr>
                <w:sz w:val="16"/>
              </w:rPr>
            </w:pPr>
            <w:r>
              <w:rPr>
                <w:sz w:val="16"/>
              </w:rPr>
              <w:t>两次违规，将被取消比赛资格</w:t>
            </w:r>
          </w:p>
        </w:tc>
        <w:tc>
          <w:tcPr>
            <w:tcW w:w="278" w:type="pct"/>
            <w:vAlign w:val="center"/>
          </w:tcPr>
          <w:p w:rsidR="00A41667" w:rsidRDefault="00A41667">
            <w:pPr>
              <w:pStyle w:val="TableParagraph"/>
              <w:snapToGrid w:val="0"/>
              <w:jc w:val="center"/>
              <w:rPr>
                <w:rFonts w:ascii="Times New Roman"/>
                <w:sz w:val="16"/>
              </w:rPr>
            </w:pPr>
          </w:p>
        </w:tc>
        <w:tc>
          <w:tcPr>
            <w:tcW w:w="286" w:type="pct"/>
            <w:vAlign w:val="center"/>
          </w:tcPr>
          <w:p w:rsidR="00A41667" w:rsidRDefault="00A41667">
            <w:pPr>
              <w:pStyle w:val="TableParagraph"/>
              <w:snapToGrid w:val="0"/>
              <w:jc w:val="center"/>
              <w:rPr>
                <w:rFonts w:ascii="Times New Roman"/>
                <w:sz w:val="16"/>
              </w:rPr>
            </w:pPr>
          </w:p>
        </w:tc>
        <w:tc>
          <w:tcPr>
            <w:tcW w:w="293" w:type="pct"/>
            <w:vAlign w:val="center"/>
          </w:tcPr>
          <w:p w:rsidR="00A41667" w:rsidRDefault="00A41667">
            <w:pPr>
              <w:pStyle w:val="TableParagraph"/>
              <w:snapToGrid w:val="0"/>
              <w:jc w:val="center"/>
              <w:rPr>
                <w:rFonts w:ascii="Times New Roman"/>
                <w:sz w:val="16"/>
              </w:rPr>
            </w:pPr>
          </w:p>
        </w:tc>
        <w:tc>
          <w:tcPr>
            <w:tcW w:w="278"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c>
          <w:tcPr>
            <w:tcW w:w="468"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r>
      <w:tr w:rsidR="00A41667">
        <w:trPr>
          <w:trHeight w:val="397"/>
        </w:trPr>
        <w:tc>
          <w:tcPr>
            <w:tcW w:w="451" w:type="pct"/>
            <w:vMerge/>
            <w:vAlign w:val="center"/>
          </w:tcPr>
          <w:p w:rsidR="00A41667" w:rsidRDefault="00A41667">
            <w:pPr>
              <w:snapToGrid w:val="0"/>
              <w:jc w:val="center"/>
              <w:rPr>
                <w:sz w:val="2"/>
                <w:szCs w:val="2"/>
              </w:rPr>
            </w:pPr>
          </w:p>
        </w:tc>
        <w:tc>
          <w:tcPr>
            <w:tcW w:w="1160" w:type="pct"/>
            <w:vAlign w:val="center"/>
          </w:tcPr>
          <w:p w:rsidR="00A41667" w:rsidRDefault="00E268B2">
            <w:pPr>
              <w:pStyle w:val="TableParagraph"/>
              <w:snapToGrid w:val="0"/>
              <w:jc w:val="center"/>
              <w:rPr>
                <w:b/>
                <w:sz w:val="16"/>
              </w:rPr>
            </w:pPr>
            <w:r>
              <w:rPr>
                <w:b/>
                <w:sz w:val="16"/>
              </w:rPr>
              <w:t>使用违规的材料</w:t>
            </w:r>
          </w:p>
        </w:tc>
        <w:tc>
          <w:tcPr>
            <w:tcW w:w="1782" w:type="pct"/>
            <w:vAlign w:val="center"/>
          </w:tcPr>
          <w:p w:rsidR="00A41667" w:rsidRDefault="00E268B2">
            <w:pPr>
              <w:pStyle w:val="TableParagraph"/>
              <w:snapToGrid w:val="0"/>
              <w:jc w:val="both"/>
              <w:rPr>
                <w:sz w:val="16"/>
              </w:rPr>
            </w:pPr>
            <w:r>
              <w:rPr>
                <w:sz w:val="16"/>
              </w:rPr>
              <w:t>场上发现使用违规材料将被禁用，两次违规将取消比赛资格</w:t>
            </w:r>
          </w:p>
        </w:tc>
        <w:tc>
          <w:tcPr>
            <w:tcW w:w="278" w:type="pct"/>
            <w:vAlign w:val="center"/>
          </w:tcPr>
          <w:p w:rsidR="00A41667" w:rsidRDefault="00A41667">
            <w:pPr>
              <w:pStyle w:val="TableParagraph"/>
              <w:snapToGrid w:val="0"/>
              <w:jc w:val="center"/>
              <w:rPr>
                <w:rFonts w:ascii="Times New Roman"/>
                <w:sz w:val="16"/>
              </w:rPr>
            </w:pPr>
          </w:p>
        </w:tc>
        <w:tc>
          <w:tcPr>
            <w:tcW w:w="286" w:type="pct"/>
            <w:vAlign w:val="center"/>
          </w:tcPr>
          <w:p w:rsidR="00A41667" w:rsidRDefault="00A41667">
            <w:pPr>
              <w:pStyle w:val="TableParagraph"/>
              <w:snapToGrid w:val="0"/>
              <w:jc w:val="center"/>
              <w:rPr>
                <w:rFonts w:ascii="Times New Roman"/>
                <w:sz w:val="16"/>
              </w:rPr>
            </w:pPr>
          </w:p>
        </w:tc>
        <w:tc>
          <w:tcPr>
            <w:tcW w:w="293" w:type="pct"/>
            <w:vAlign w:val="center"/>
          </w:tcPr>
          <w:p w:rsidR="00A41667" w:rsidRDefault="00A41667">
            <w:pPr>
              <w:pStyle w:val="TableParagraph"/>
              <w:snapToGrid w:val="0"/>
              <w:jc w:val="center"/>
              <w:rPr>
                <w:rFonts w:ascii="Times New Roman"/>
                <w:sz w:val="16"/>
              </w:rPr>
            </w:pPr>
          </w:p>
        </w:tc>
        <w:tc>
          <w:tcPr>
            <w:tcW w:w="278"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c>
          <w:tcPr>
            <w:tcW w:w="468"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r>
      <w:tr w:rsidR="00A41667">
        <w:trPr>
          <w:trHeight w:val="397"/>
        </w:trPr>
        <w:tc>
          <w:tcPr>
            <w:tcW w:w="451" w:type="pct"/>
            <w:vMerge/>
            <w:vAlign w:val="center"/>
          </w:tcPr>
          <w:p w:rsidR="00A41667" w:rsidRDefault="00A41667">
            <w:pPr>
              <w:snapToGrid w:val="0"/>
              <w:jc w:val="center"/>
              <w:rPr>
                <w:sz w:val="2"/>
                <w:szCs w:val="2"/>
              </w:rPr>
            </w:pPr>
          </w:p>
        </w:tc>
        <w:tc>
          <w:tcPr>
            <w:tcW w:w="1160" w:type="pct"/>
            <w:vAlign w:val="center"/>
          </w:tcPr>
          <w:p w:rsidR="00A41667" w:rsidRDefault="00E268B2">
            <w:pPr>
              <w:pStyle w:val="TableParagraph"/>
              <w:snapToGrid w:val="0"/>
              <w:jc w:val="center"/>
              <w:rPr>
                <w:b/>
                <w:sz w:val="16"/>
              </w:rPr>
            </w:pPr>
            <w:r>
              <w:rPr>
                <w:b/>
                <w:sz w:val="16"/>
              </w:rPr>
              <w:t>污染场地</w:t>
            </w:r>
          </w:p>
        </w:tc>
        <w:tc>
          <w:tcPr>
            <w:tcW w:w="1782" w:type="pct"/>
            <w:vAlign w:val="center"/>
          </w:tcPr>
          <w:p w:rsidR="00A41667" w:rsidRDefault="00E268B2">
            <w:pPr>
              <w:pStyle w:val="TableParagraph"/>
              <w:snapToGrid w:val="0"/>
              <w:jc w:val="both"/>
              <w:rPr>
                <w:sz w:val="16"/>
              </w:rPr>
            </w:pPr>
            <w:r>
              <w:rPr>
                <w:sz w:val="16"/>
              </w:rPr>
              <w:t>机器人使用胶水、胶带、润滑油污染场地。如有发现将被禁用，两次违规将取消比赛资格</w:t>
            </w:r>
          </w:p>
        </w:tc>
        <w:tc>
          <w:tcPr>
            <w:tcW w:w="278" w:type="pct"/>
            <w:vAlign w:val="center"/>
          </w:tcPr>
          <w:p w:rsidR="00A41667" w:rsidRDefault="00A41667">
            <w:pPr>
              <w:pStyle w:val="TableParagraph"/>
              <w:snapToGrid w:val="0"/>
              <w:jc w:val="center"/>
              <w:rPr>
                <w:rFonts w:ascii="Times New Roman"/>
                <w:sz w:val="16"/>
              </w:rPr>
            </w:pPr>
          </w:p>
        </w:tc>
        <w:tc>
          <w:tcPr>
            <w:tcW w:w="286" w:type="pct"/>
            <w:vAlign w:val="center"/>
          </w:tcPr>
          <w:p w:rsidR="00A41667" w:rsidRDefault="00A41667">
            <w:pPr>
              <w:pStyle w:val="TableParagraph"/>
              <w:snapToGrid w:val="0"/>
              <w:jc w:val="center"/>
              <w:rPr>
                <w:rFonts w:ascii="Times New Roman"/>
                <w:sz w:val="16"/>
              </w:rPr>
            </w:pPr>
          </w:p>
        </w:tc>
        <w:tc>
          <w:tcPr>
            <w:tcW w:w="293" w:type="pct"/>
            <w:vAlign w:val="center"/>
          </w:tcPr>
          <w:p w:rsidR="00A41667" w:rsidRDefault="00A41667">
            <w:pPr>
              <w:pStyle w:val="TableParagraph"/>
              <w:snapToGrid w:val="0"/>
              <w:jc w:val="center"/>
              <w:rPr>
                <w:rFonts w:ascii="Times New Roman"/>
                <w:sz w:val="16"/>
              </w:rPr>
            </w:pPr>
          </w:p>
        </w:tc>
        <w:tc>
          <w:tcPr>
            <w:tcW w:w="278"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c>
          <w:tcPr>
            <w:tcW w:w="468"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r>
      <w:tr w:rsidR="00A41667">
        <w:trPr>
          <w:trHeight w:val="397"/>
        </w:trPr>
        <w:tc>
          <w:tcPr>
            <w:tcW w:w="451" w:type="pct"/>
            <w:vMerge/>
            <w:vAlign w:val="center"/>
          </w:tcPr>
          <w:p w:rsidR="00A41667" w:rsidRDefault="00A41667">
            <w:pPr>
              <w:snapToGrid w:val="0"/>
              <w:jc w:val="center"/>
              <w:rPr>
                <w:sz w:val="2"/>
                <w:szCs w:val="2"/>
              </w:rPr>
            </w:pPr>
          </w:p>
        </w:tc>
        <w:tc>
          <w:tcPr>
            <w:tcW w:w="1160" w:type="pct"/>
            <w:vAlign w:val="center"/>
          </w:tcPr>
          <w:p w:rsidR="00A41667" w:rsidRDefault="00E268B2">
            <w:pPr>
              <w:pStyle w:val="TableParagraph"/>
              <w:snapToGrid w:val="0"/>
              <w:jc w:val="center"/>
              <w:rPr>
                <w:b/>
                <w:sz w:val="16"/>
              </w:rPr>
            </w:pPr>
            <w:r>
              <w:rPr>
                <w:b/>
                <w:sz w:val="16"/>
              </w:rPr>
              <w:t>机器人出界</w:t>
            </w:r>
          </w:p>
        </w:tc>
        <w:tc>
          <w:tcPr>
            <w:tcW w:w="1782" w:type="pct"/>
            <w:vAlign w:val="center"/>
          </w:tcPr>
          <w:p w:rsidR="00A41667" w:rsidRDefault="00E268B2">
            <w:pPr>
              <w:pStyle w:val="TableParagraph"/>
              <w:snapToGrid w:val="0"/>
              <w:jc w:val="both"/>
              <w:rPr>
                <w:sz w:val="16"/>
              </w:rPr>
            </w:pPr>
            <w:r>
              <w:rPr>
                <w:sz w:val="16"/>
              </w:rPr>
              <w:t>机器人任何部分不得超出比赛场地边界</w:t>
            </w:r>
          </w:p>
        </w:tc>
        <w:tc>
          <w:tcPr>
            <w:tcW w:w="278" w:type="pct"/>
            <w:vAlign w:val="center"/>
          </w:tcPr>
          <w:p w:rsidR="00A41667" w:rsidRDefault="00A41667">
            <w:pPr>
              <w:pStyle w:val="TableParagraph"/>
              <w:snapToGrid w:val="0"/>
              <w:jc w:val="center"/>
              <w:rPr>
                <w:rFonts w:ascii="Times New Roman"/>
                <w:sz w:val="16"/>
              </w:rPr>
            </w:pPr>
          </w:p>
        </w:tc>
        <w:tc>
          <w:tcPr>
            <w:tcW w:w="286" w:type="pct"/>
            <w:vAlign w:val="center"/>
          </w:tcPr>
          <w:p w:rsidR="00A41667" w:rsidRDefault="00A41667">
            <w:pPr>
              <w:pStyle w:val="TableParagraph"/>
              <w:snapToGrid w:val="0"/>
              <w:jc w:val="center"/>
              <w:rPr>
                <w:rFonts w:ascii="Times New Roman"/>
                <w:sz w:val="16"/>
              </w:rPr>
            </w:pPr>
          </w:p>
        </w:tc>
        <w:tc>
          <w:tcPr>
            <w:tcW w:w="293" w:type="pct"/>
            <w:vAlign w:val="center"/>
          </w:tcPr>
          <w:p w:rsidR="00A41667" w:rsidRDefault="00A41667">
            <w:pPr>
              <w:pStyle w:val="TableParagraph"/>
              <w:snapToGrid w:val="0"/>
              <w:jc w:val="center"/>
              <w:rPr>
                <w:rFonts w:ascii="Times New Roman"/>
                <w:sz w:val="16"/>
              </w:rPr>
            </w:pPr>
          </w:p>
        </w:tc>
        <w:tc>
          <w:tcPr>
            <w:tcW w:w="278"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c>
          <w:tcPr>
            <w:tcW w:w="468"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r>
      <w:tr w:rsidR="00A41667">
        <w:trPr>
          <w:trHeight w:val="397"/>
        </w:trPr>
        <w:tc>
          <w:tcPr>
            <w:tcW w:w="451" w:type="pct"/>
            <w:vMerge/>
            <w:vAlign w:val="center"/>
          </w:tcPr>
          <w:p w:rsidR="00A41667" w:rsidRDefault="00A41667">
            <w:pPr>
              <w:snapToGrid w:val="0"/>
              <w:jc w:val="center"/>
              <w:rPr>
                <w:sz w:val="2"/>
                <w:szCs w:val="2"/>
              </w:rPr>
            </w:pPr>
          </w:p>
        </w:tc>
        <w:tc>
          <w:tcPr>
            <w:tcW w:w="1160" w:type="pct"/>
            <w:vAlign w:val="center"/>
          </w:tcPr>
          <w:p w:rsidR="00A41667" w:rsidRDefault="00E268B2">
            <w:pPr>
              <w:pStyle w:val="TableParagraph"/>
              <w:snapToGrid w:val="0"/>
              <w:jc w:val="center"/>
              <w:rPr>
                <w:b/>
                <w:sz w:val="16"/>
              </w:rPr>
            </w:pPr>
            <w:r>
              <w:rPr>
                <w:b/>
                <w:sz w:val="16"/>
              </w:rPr>
              <w:t>其它不安全因素</w:t>
            </w:r>
          </w:p>
        </w:tc>
        <w:tc>
          <w:tcPr>
            <w:tcW w:w="1782" w:type="pct"/>
            <w:vAlign w:val="center"/>
          </w:tcPr>
          <w:p w:rsidR="00A41667" w:rsidRDefault="00E268B2">
            <w:pPr>
              <w:pStyle w:val="TableParagraph"/>
              <w:snapToGrid w:val="0"/>
              <w:jc w:val="both"/>
              <w:rPr>
                <w:sz w:val="16"/>
              </w:rPr>
            </w:pPr>
            <w:r>
              <w:rPr>
                <w:sz w:val="16"/>
              </w:rPr>
              <w:t>裁判发现机器人其它不安全因素有权要求选手禁用，并进行整改，后续两次违规将取消比赛资格。</w:t>
            </w:r>
          </w:p>
        </w:tc>
        <w:tc>
          <w:tcPr>
            <w:tcW w:w="278" w:type="pct"/>
            <w:vAlign w:val="center"/>
          </w:tcPr>
          <w:p w:rsidR="00A41667" w:rsidRDefault="00A41667">
            <w:pPr>
              <w:pStyle w:val="TableParagraph"/>
              <w:snapToGrid w:val="0"/>
              <w:jc w:val="center"/>
              <w:rPr>
                <w:rFonts w:ascii="Times New Roman"/>
                <w:sz w:val="16"/>
              </w:rPr>
            </w:pPr>
          </w:p>
        </w:tc>
        <w:tc>
          <w:tcPr>
            <w:tcW w:w="286" w:type="pct"/>
            <w:vAlign w:val="center"/>
          </w:tcPr>
          <w:p w:rsidR="00A41667" w:rsidRDefault="00A41667">
            <w:pPr>
              <w:pStyle w:val="TableParagraph"/>
              <w:snapToGrid w:val="0"/>
              <w:jc w:val="center"/>
              <w:rPr>
                <w:rFonts w:ascii="Times New Roman"/>
                <w:sz w:val="16"/>
              </w:rPr>
            </w:pPr>
          </w:p>
        </w:tc>
        <w:tc>
          <w:tcPr>
            <w:tcW w:w="293" w:type="pct"/>
            <w:vAlign w:val="center"/>
          </w:tcPr>
          <w:p w:rsidR="00A41667" w:rsidRDefault="00A41667">
            <w:pPr>
              <w:pStyle w:val="TableParagraph"/>
              <w:snapToGrid w:val="0"/>
              <w:jc w:val="center"/>
              <w:rPr>
                <w:rFonts w:ascii="Times New Roman"/>
                <w:sz w:val="16"/>
              </w:rPr>
            </w:pPr>
          </w:p>
        </w:tc>
        <w:tc>
          <w:tcPr>
            <w:tcW w:w="278"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c>
          <w:tcPr>
            <w:tcW w:w="468"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r>
      <w:tr w:rsidR="00A41667">
        <w:trPr>
          <w:trHeight w:val="397"/>
        </w:trPr>
        <w:tc>
          <w:tcPr>
            <w:tcW w:w="451" w:type="pct"/>
            <w:vMerge w:val="restart"/>
            <w:vAlign w:val="center"/>
          </w:tcPr>
          <w:p w:rsidR="00A41667" w:rsidRDefault="00E268B2">
            <w:pPr>
              <w:pStyle w:val="TableParagraph"/>
              <w:snapToGrid w:val="0"/>
              <w:jc w:val="center"/>
              <w:rPr>
                <w:b/>
                <w:sz w:val="16"/>
              </w:rPr>
            </w:pPr>
            <w:r>
              <w:rPr>
                <w:b/>
                <w:sz w:val="16"/>
              </w:rPr>
              <w:t>操作</w:t>
            </w:r>
          </w:p>
        </w:tc>
        <w:tc>
          <w:tcPr>
            <w:tcW w:w="1160" w:type="pct"/>
            <w:vAlign w:val="center"/>
          </w:tcPr>
          <w:p w:rsidR="00A41667" w:rsidRDefault="00E268B2">
            <w:pPr>
              <w:pStyle w:val="TableParagraph"/>
              <w:snapToGrid w:val="0"/>
              <w:jc w:val="center"/>
              <w:rPr>
                <w:b/>
                <w:sz w:val="16"/>
              </w:rPr>
            </w:pPr>
            <w:r>
              <w:rPr>
                <w:b/>
                <w:sz w:val="16"/>
              </w:rPr>
              <w:t>携带电子通信设备进入场地</w:t>
            </w:r>
          </w:p>
        </w:tc>
        <w:tc>
          <w:tcPr>
            <w:tcW w:w="1782" w:type="pct"/>
            <w:vAlign w:val="center"/>
          </w:tcPr>
          <w:p w:rsidR="00A41667" w:rsidRDefault="00E268B2">
            <w:pPr>
              <w:pStyle w:val="TableParagraph"/>
              <w:snapToGrid w:val="0"/>
              <w:jc w:val="both"/>
              <w:rPr>
                <w:sz w:val="16"/>
              </w:rPr>
            </w:pPr>
            <w:r>
              <w:rPr>
                <w:sz w:val="16"/>
              </w:rPr>
              <w:t>二次违反可出示黄牌处罚</w:t>
            </w:r>
          </w:p>
        </w:tc>
        <w:tc>
          <w:tcPr>
            <w:tcW w:w="278"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c>
          <w:tcPr>
            <w:tcW w:w="286"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c>
          <w:tcPr>
            <w:tcW w:w="293" w:type="pct"/>
            <w:vAlign w:val="center"/>
          </w:tcPr>
          <w:p w:rsidR="00A41667" w:rsidRDefault="00A41667">
            <w:pPr>
              <w:pStyle w:val="TableParagraph"/>
              <w:snapToGrid w:val="0"/>
              <w:jc w:val="center"/>
              <w:rPr>
                <w:rFonts w:ascii="Times New Roman"/>
                <w:sz w:val="16"/>
              </w:rPr>
            </w:pPr>
          </w:p>
        </w:tc>
        <w:tc>
          <w:tcPr>
            <w:tcW w:w="278" w:type="pct"/>
            <w:vAlign w:val="center"/>
          </w:tcPr>
          <w:p w:rsidR="00A41667" w:rsidRDefault="00A41667">
            <w:pPr>
              <w:pStyle w:val="TableParagraph"/>
              <w:snapToGrid w:val="0"/>
              <w:jc w:val="center"/>
              <w:rPr>
                <w:rFonts w:ascii="Times New Roman"/>
                <w:sz w:val="16"/>
              </w:rPr>
            </w:pPr>
          </w:p>
        </w:tc>
        <w:tc>
          <w:tcPr>
            <w:tcW w:w="468" w:type="pct"/>
            <w:vAlign w:val="center"/>
          </w:tcPr>
          <w:p w:rsidR="00A41667" w:rsidRDefault="00A41667">
            <w:pPr>
              <w:pStyle w:val="TableParagraph"/>
              <w:snapToGrid w:val="0"/>
              <w:jc w:val="center"/>
              <w:rPr>
                <w:rFonts w:ascii="Times New Roman"/>
                <w:sz w:val="16"/>
              </w:rPr>
            </w:pPr>
          </w:p>
        </w:tc>
      </w:tr>
      <w:tr w:rsidR="00A41667">
        <w:trPr>
          <w:trHeight w:val="397"/>
        </w:trPr>
        <w:tc>
          <w:tcPr>
            <w:tcW w:w="451" w:type="pct"/>
            <w:vMerge/>
            <w:vAlign w:val="center"/>
          </w:tcPr>
          <w:p w:rsidR="00A41667" w:rsidRDefault="00A41667">
            <w:pPr>
              <w:snapToGrid w:val="0"/>
              <w:jc w:val="center"/>
              <w:rPr>
                <w:sz w:val="2"/>
                <w:szCs w:val="2"/>
              </w:rPr>
            </w:pPr>
          </w:p>
        </w:tc>
        <w:tc>
          <w:tcPr>
            <w:tcW w:w="1160" w:type="pct"/>
            <w:vAlign w:val="center"/>
          </w:tcPr>
          <w:p w:rsidR="00A41667" w:rsidRDefault="00E268B2">
            <w:pPr>
              <w:pStyle w:val="TableParagraph"/>
              <w:snapToGrid w:val="0"/>
              <w:jc w:val="center"/>
              <w:rPr>
                <w:b/>
                <w:sz w:val="16"/>
              </w:rPr>
            </w:pPr>
            <w:r>
              <w:rPr>
                <w:b/>
                <w:sz w:val="16"/>
              </w:rPr>
              <w:t>延迟结束比赛</w:t>
            </w:r>
          </w:p>
        </w:tc>
        <w:tc>
          <w:tcPr>
            <w:tcW w:w="1782" w:type="pct"/>
            <w:vAlign w:val="center"/>
          </w:tcPr>
          <w:p w:rsidR="00A41667" w:rsidRDefault="00E268B2">
            <w:pPr>
              <w:pStyle w:val="TableParagraph"/>
              <w:snapToGrid w:val="0"/>
              <w:jc w:val="both"/>
              <w:rPr>
                <w:sz w:val="16"/>
              </w:rPr>
            </w:pPr>
            <w:r>
              <w:rPr>
                <w:sz w:val="16"/>
              </w:rPr>
              <w:t>还要扣除相应得分</w:t>
            </w:r>
          </w:p>
        </w:tc>
        <w:tc>
          <w:tcPr>
            <w:tcW w:w="278"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c>
          <w:tcPr>
            <w:tcW w:w="286" w:type="pct"/>
            <w:vAlign w:val="center"/>
          </w:tcPr>
          <w:p w:rsidR="00A41667" w:rsidRDefault="00A41667">
            <w:pPr>
              <w:pStyle w:val="TableParagraph"/>
              <w:snapToGrid w:val="0"/>
              <w:jc w:val="center"/>
              <w:rPr>
                <w:rFonts w:ascii="Times New Roman"/>
                <w:sz w:val="16"/>
              </w:rPr>
            </w:pPr>
          </w:p>
        </w:tc>
        <w:tc>
          <w:tcPr>
            <w:tcW w:w="293" w:type="pct"/>
            <w:vAlign w:val="center"/>
          </w:tcPr>
          <w:p w:rsidR="00A41667" w:rsidRDefault="00A41667">
            <w:pPr>
              <w:pStyle w:val="TableParagraph"/>
              <w:snapToGrid w:val="0"/>
              <w:jc w:val="center"/>
              <w:rPr>
                <w:rFonts w:ascii="Times New Roman"/>
                <w:sz w:val="16"/>
              </w:rPr>
            </w:pPr>
          </w:p>
        </w:tc>
        <w:tc>
          <w:tcPr>
            <w:tcW w:w="278" w:type="pct"/>
            <w:vAlign w:val="center"/>
          </w:tcPr>
          <w:p w:rsidR="00A41667" w:rsidRDefault="00A41667">
            <w:pPr>
              <w:pStyle w:val="TableParagraph"/>
              <w:snapToGrid w:val="0"/>
              <w:jc w:val="center"/>
              <w:rPr>
                <w:rFonts w:ascii="Times New Roman"/>
                <w:sz w:val="16"/>
              </w:rPr>
            </w:pPr>
          </w:p>
        </w:tc>
        <w:tc>
          <w:tcPr>
            <w:tcW w:w="468" w:type="pct"/>
            <w:vAlign w:val="center"/>
          </w:tcPr>
          <w:p w:rsidR="00A41667" w:rsidRDefault="00A41667">
            <w:pPr>
              <w:pStyle w:val="TableParagraph"/>
              <w:snapToGrid w:val="0"/>
              <w:jc w:val="center"/>
              <w:rPr>
                <w:rFonts w:ascii="Times New Roman"/>
                <w:sz w:val="16"/>
              </w:rPr>
            </w:pPr>
          </w:p>
        </w:tc>
      </w:tr>
      <w:tr w:rsidR="00A41667">
        <w:trPr>
          <w:trHeight w:val="397"/>
        </w:trPr>
        <w:tc>
          <w:tcPr>
            <w:tcW w:w="451" w:type="pct"/>
            <w:vMerge/>
            <w:vAlign w:val="center"/>
          </w:tcPr>
          <w:p w:rsidR="00A41667" w:rsidRDefault="00A41667">
            <w:pPr>
              <w:snapToGrid w:val="0"/>
              <w:jc w:val="center"/>
              <w:rPr>
                <w:sz w:val="2"/>
                <w:szCs w:val="2"/>
              </w:rPr>
            </w:pPr>
          </w:p>
        </w:tc>
        <w:tc>
          <w:tcPr>
            <w:tcW w:w="1160" w:type="pct"/>
            <w:vAlign w:val="center"/>
          </w:tcPr>
          <w:p w:rsidR="00A41667" w:rsidRDefault="00E268B2">
            <w:pPr>
              <w:pStyle w:val="TableParagraph"/>
              <w:snapToGrid w:val="0"/>
              <w:jc w:val="center"/>
              <w:rPr>
                <w:b/>
                <w:sz w:val="16"/>
              </w:rPr>
            </w:pPr>
            <w:r>
              <w:rPr>
                <w:b/>
                <w:sz w:val="16"/>
              </w:rPr>
              <w:t>比赛过程中违规接触</w:t>
            </w:r>
          </w:p>
        </w:tc>
        <w:tc>
          <w:tcPr>
            <w:tcW w:w="1782" w:type="pct"/>
            <w:vAlign w:val="center"/>
          </w:tcPr>
          <w:p w:rsidR="00A41667" w:rsidRDefault="00E268B2">
            <w:pPr>
              <w:pStyle w:val="TableParagraph"/>
              <w:snapToGrid w:val="0"/>
              <w:jc w:val="both"/>
              <w:rPr>
                <w:sz w:val="16"/>
              </w:rPr>
            </w:pPr>
            <w:r>
              <w:rPr>
                <w:sz w:val="16"/>
              </w:rPr>
              <w:t>对比分或者比赛进行造成影响将判罚黄牌</w:t>
            </w:r>
          </w:p>
        </w:tc>
        <w:tc>
          <w:tcPr>
            <w:tcW w:w="278"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c>
          <w:tcPr>
            <w:tcW w:w="286"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c>
          <w:tcPr>
            <w:tcW w:w="293" w:type="pct"/>
            <w:vAlign w:val="center"/>
          </w:tcPr>
          <w:p w:rsidR="00A41667" w:rsidRDefault="00A41667">
            <w:pPr>
              <w:pStyle w:val="TableParagraph"/>
              <w:snapToGrid w:val="0"/>
              <w:jc w:val="center"/>
              <w:rPr>
                <w:rFonts w:ascii="Times New Roman"/>
                <w:sz w:val="16"/>
              </w:rPr>
            </w:pPr>
          </w:p>
        </w:tc>
        <w:tc>
          <w:tcPr>
            <w:tcW w:w="278" w:type="pct"/>
            <w:vAlign w:val="center"/>
          </w:tcPr>
          <w:p w:rsidR="00A41667" w:rsidRDefault="00A41667">
            <w:pPr>
              <w:pStyle w:val="TableParagraph"/>
              <w:snapToGrid w:val="0"/>
              <w:jc w:val="center"/>
              <w:rPr>
                <w:rFonts w:ascii="Times New Roman"/>
                <w:sz w:val="16"/>
              </w:rPr>
            </w:pPr>
          </w:p>
        </w:tc>
        <w:tc>
          <w:tcPr>
            <w:tcW w:w="468" w:type="pct"/>
            <w:vAlign w:val="center"/>
          </w:tcPr>
          <w:p w:rsidR="00A41667" w:rsidRDefault="00A41667">
            <w:pPr>
              <w:pStyle w:val="TableParagraph"/>
              <w:snapToGrid w:val="0"/>
              <w:jc w:val="center"/>
              <w:rPr>
                <w:rFonts w:ascii="Times New Roman"/>
                <w:sz w:val="16"/>
              </w:rPr>
            </w:pPr>
          </w:p>
        </w:tc>
      </w:tr>
      <w:tr w:rsidR="00A41667">
        <w:trPr>
          <w:trHeight w:val="397"/>
        </w:trPr>
        <w:tc>
          <w:tcPr>
            <w:tcW w:w="451" w:type="pct"/>
            <w:vMerge/>
            <w:vAlign w:val="center"/>
          </w:tcPr>
          <w:p w:rsidR="00A41667" w:rsidRDefault="00A41667">
            <w:pPr>
              <w:snapToGrid w:val="0"/>
              <w:jc w:val="center"/>
              <w:rPr>
                <w:sz w:val="2"/>
                <w:szCs w:val="2"/>
              </w:rPr>
            </w:pPr>
          </w:p>
        </w:tc>
        <w:tc>
          <w:tcPr>
            <w:tcW w:w="1160" w:type="pct"/>
            <w:vAlign w:val="center"/>
          </w:tcPr>
          <w:p w:rsidR="00A41667" w:rsidRDefault="00E268B2">
            <w:pPr>
              <w:pStyle w:val="TableParagraph"/>
              <w:snapToGrid w:val="0"/>
              <w:jc w:val="center"/>
              <w:rPr>
                <w:b/>
                <w:sz w:val="16"/>
              </w:rPr>
            </w:pPr>
            <w:r>
              <w:rPr>
                <w:b/>
                <w:sz w:val="16"/>
              </w:rPr>
              <w:t>身体伸入场地影响对方得分</w:t>
            </w:r>
          </w:p>
        </w:tc>
        <w:tc>
          <w:tcPr>
            <w:tcW w:w="1782" w:type="pct"/>
            <w:vAlign w:val="center"/>
          </w:tcPr>
          <w:p w:rsidR="00A41667" w:rsidRDefault="00E268B2">
            <w:pPr>
              <w:pStyle w:val="TableParagraph"/>
              <w:snapToGrid w:val="0"/>
              <w:jc w:val="both"/>
              <w:rPr>
                <w:sz w:val="16"/>
              </w:rPr>
            </w:pPr>
            <w:r>
              <w:rPr>
                <w:sz w:val="16"/>
              </w:rPr>
              <w:t>二次违规将判黄牌</w:t>
            </w:r>
          </w:p>
        </w:tc>
        <w:tc>
          <w:tcPr>
            <w:tcW w:w="278"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c>
          <w:tcPr>
            <w:tcW w:w="286"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c>
          <w:tcPr>
            <w:tcW w:w="293" w:type="pct"/>
            <w:vAlign w:val="center"/>
          </w:tcPr>
          <w:p w:rsidR="00A41667" w:rsidRDefault="00A41667">
            <w:pPr>
              <w:pStyle w:val="TableParagraph"/>
              <w:snapToGrid w:val="0"/>
              <w:jc w:val="center"/>
              <w:rPr>
                <w:rFonts w:ascii="Times New Roman"/>
                <w:sz w:val="16"/>
              </w:rPr>
            </w:pPr>
          </w:p>
        </w:tc>
        <w:tc>
          <w:tcPr>
            <w:tcW w:w="278" w:type="pct"/>
            <w:vAlign w:val="center"/>
          </w:tcPr>
          <w:p w:rsidR="00A41667" w:rsidRDefault="00A41667">
            <w:pPr>
              <w:pStyle w:val="TableParagraph"/>
              <w:snapToGrid w:val="0"/>
              <w:jc w:val="center"/>
              <w:rPr>
                <w:rFonts w:ascii="Times New Roman"/>
                <w:sz w:val="16"/>
              </w:rPr>
            </w:pPr>
          </w:p>
        </w:tc>
        <w:tc>
          <w:tcPr>
            <w:tcW w:w="468" w:type="pct"/>
            <w:vAlign w:val="center"/>
          </w:tcPr>
          <w:p w:rsidR="00A41667" w:rsidRDefault="00A41667">
            <w:pPr>
              <w:pStyle w:val="TableParagraph"/>
              <w:snapToGrid w:val="0"/>
              <w:jc w:val="center"/>
              <w:rPr>
                <w:rFonts w:ascii="Times New Roman"/>
                <w:sz w:val="16"/>
              </w:rPr>
            </w:pPr>
          </w:p>
        </w:tc>
      </w:tr>
      <w:tr w:rsidR="00A41667">
        <w:trPr>
          <w:trHeight w:val="397"/>
        </w:trPr>
        <w:tc>
          <w:tcPr>
            <w:tcW w:w="451" w:type="pct"/>
            <w:vMerge/>
            <w:vAlign w:val="center"/>
          </w:tcPr>
          <w:p w:rsidR="00A41667" w:rsidRDefault="00A41667">
            <w:pPr>
              <w:snapToGrid w:val="0"/>
              <w:jc w:val="center"/>
              <w:rPr>
                <w:sz w:val="2"/>
                <w:szCs w:val="2"/>
              </w:rPr>
            </w:pPr>
          </w:p>
        </w:tc>
        <w:tc>
          <w:tcPr>
            <w:tcW w:w="1160" w:type="pct"/>
            <w:vAlign w:val="center"/>
          </w:tcPr>
          <w:p w:rsidR="00A41667" w:rsidRDefault="00E268B2">
            <w:pPr>
              <w:pStyle w:val="TableParagraph"/>
              <w:snapToGrid w:val="0"/>
              <w:jc w:val="center"/>
              <w:rPr>
                <w:b/>
                <w:sz w:val="16"/>
              </w:rPr>
            </w:pPr>
            <w:r>
              <w:rPr>
                <w:b/>
                <w:sz w:val="16"/>
              </w:rPr>
              <w:t>自动控制阶段使用遥控器</w:t>
            </w:r>
          </w:p>
        </w:tc>
        <w:tc>
          <w:tcPr>
            <w:tcW w:w="1782" w:type="pct"/>
            <w:vAlign w:val="center"/>
          </w:tcPr>
          <w:p w:rsidR="00A41667" w:rsidRDefault="00E268B2">
            <w:pPr>
              <w:pStyle w:val="TableParagraph"/>
              <w:snapToGrid w:val="0"/>
              <w:jc w:val="both"/>
              <w:rPr>
                <w:sz w:val="16"/>
              </w:rPr>
            </w:pPr>
            <w:r>
              <w:rPr>
                <w:sz w:val="16"/>
              </w:rPr>
              <w:t>自动阶段遥控器应放在置物筐内。</w:t>
            </w:r>
          </w:p>
        </w:tc>
        <w:tc>
          <w:tcPr>
            <w:tcW w:w="278" w:type="pct"/>
            <w:vAlign w:val="center"/>
          </w:tcPr>
          <w:p w:rsidR="00A41667" w:rsidRDefault="00A41667">
            <w:pPr>
              <w:pStyle w:val="TableParagraph"/>
              <w:snapToGrid w:val="0"/>
              <w:jc w:val="center"/>
              <w:rPr>
                <w:rFonts w:ascii="Times New Roman"/>
                <w:sz w:val="16"/>
              </w:rPr>
            </w:pPr>
          </w:p>
        </w:tc>
        <w:tc>
          <w:tcPr>
            <w:tcW w:w="286" w:type="pct"/>
            <w:vAlign w:val="center"/>
          </w:tcPr>
          <w:p w:rsidR="00A41667" w:rsidRDefault="00A41667">
            <w:pPr>
              <w:pStyle w:val="TableParagraph"/>
              <w:snapToGrid w:val="0"/>
              <w:jc w:val="center"/>
              <w:rPr>
                <w:rFonts w:ascii="Times New Roman"/>
                <w:sz w:val="16"/>
              </w:rPr>
            </w:pPr>
          </w:p>
        </w:tc>
        <w:tc>
          <w:tcPr>
            <w:tcW w:w="293"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c>
          <w:tcPr>
            <w:tcW w:w="278" w:type="pct"/>
            <w:vAlign w:val="center"/>
          </w:tcPr>
          <w:p w:rsidR="00A41667" w:rsidRDefault="00A41667">
            <w:pPr>
              <w:pStyle w:val="TableParagraph"/>
              <w:snapToGrid w:val="0"/>
              <w:jc w:val="center"/>
              <w:rPr>
                <w:rFonts w:ascii="Times New Roman"/>
                <w:sz w:val="16"/>
              </w:rPr>
            </w:pPr>
          </w:p>
        </w:tc>
        <w:tc>
          <w:tcPr>
            <w:tcW w:w="468" w:type="pct"/>
            <w:vAlign w:val="center"/>
          </w:tcPr>
          <w:p w:rsidR="00A41667" w:rsidRDefault="00A41667">
            <w:pPr>
              <w:pStyle w:val="TableParagraph"/>
              <w:snapToGrid w:val="0"/>
              <w:jc w:val="center"/>
              <w:rPr>
                <w:rFonts w:ascii="Times New Roman"/>
                <w:sz w:val="16"/>
              </w:rPr>
            </w:pPr>
          </w:p>
        </w:tc>
      </w:tr>
      <w:tr w:rsidR="00A41667">
        <w:trPr>
          <w:trHeight w:val="397"/>
        </w:trPr>
        <w:tc>
          <w:tcPr>
            <w:tcW w:w="451" w:type="pct"/>
            <w:vMerge/>
            <w:vAlign w:val="center"/>
          </w:tcPr>
          <w:p w:rsidR="00A41667" w:rsidRDefault="00A41667">
            <w:pPr>
              <w:snapToGrid w:val="0"/>
              <w:jc w:val="center"/>
              <w:rPr>
                <w:sz w:val="2"/>
                <w:szCs w:val="2"/>
              </w:rPr>
            </w:pPr>
          </w:p>
        </w:tc>
        <w:tc>
          <w:tcPr>
            <w:tcW w:w="1160" w:type="pct"/>
            <w:vAlign w:val="center"/>
          </w:tcPr>
          <w:p w:rsidR="00A41667" w:rsidRDefault="00E268B2">
            <w:pPr>
              <w:pStyle w:val="TableParagraph"/>
              <w:snapToGrid w:val="0"/>
              <w:jc w:val="center"/>
              <w:rPr>
                <w:b/>
                <w:sz w:val="16"/>
              </w:rPr>
            </w:pPr>
            <w:r>
              <w:rPr>
                <w:b/>
                <w:sz w:val="16"/>
              </w:rPr>
              <w:t>机器人在场地上遗留零部件</w:t>
            </w:r>
          </w:p>
        </w:tc>
        <w:tc>
          <w:tcPr>
            <w:tcW w:w="1782" w:type="pct"/>
            <w:vAlign w:val="center"/>
          </w:tcPr>
          <w:p w:rsidR="00A41667" w:rsidRDefault="00E268B2">
            <w:pPr>
              <w:pStyle w:val="TableParagraph"/>
              <w:snapToGrid w:val="0"/>
              <w:jc w:val="both"/>
              <w:rPr>
                <w:sz w:val="16"/>
              </w:rPr>
            </w:pPr>
            <w:r>
              <w:rPr>
                <w:sz w:val="16"/>
              </w:rPr>
              <w:t>依照情节恶劣程度给予违例和针对二次违规给予黄牌</w:t>
            </w:r>
          </w:p>
        </w:tc>
        <w:tc>
          <w:tcPr>
            <w:tcW w:w="278"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c>
          <w:tcPr>
            <w:tcW w:w="286"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c>
          <w:tcPr>
            <w:tcW w:w="293" w:type="pct"/>
            <w:vAlign w:val="center"/>
          </w:tcPr>
          <w:p w:rsidR="00A41667" w:rsidRDefault="00A41667">
            <w:pPr>
              <w:pStyle w:val="TableParagraph"/>
              <w:snapToGrid w:val="0"/>
              <w:jc w:val="center"/>
              <w:rPr>
                <w:rFonts w:ascii="Times New Roman"/>
                <w:sz w:val="16"/>
              </w:rPr>
            </w:pPr>
          </w:p>
        </w:tc>
        <w:tc>
          <w:tcPr>
            <w:tcW w:w="278" w:type="pct"/>
            <w:vAlign w:val="center"/>
          </w:tcPr>
          <w:p w:rsidR="00A41667" w:rsidRDefault="00A41667">
            <w:pPr>
              <w:pStyle w:val="TableParagraph"/>
              <w:snapToGrid w:val="0"/>
              <w:jc w:val="center"/>
              <w:rPr>
                <w:rFonts w:ascii="Times New Roman"/>
                <w:sz w:val="16"/>
              </w:rPr>
            </w:pPr>
          </w:p>
        </w:tc>
        <w:tc>
          <w:tcPr>
            <w:tcW w:w="468" w:type="pct"/>
            <w:vAlign w:val="center"/>
          </w:tcPr>
          <w:p w:rsidR="00A41667" w:rsidRDefault="00A41667">
            <w:pPr>
              <w:pStyle w:val="TableParagraph"/>
              <w:snapToGrid w:val="0"/>
              <w:jc w:val="center"/>
              <w:rPr>
                <w:rFonts w:ascii="Times New Roman"/>
                <w:sz w:val="16"/>
              </w:rPr>
            </w:pPr>
          </w:p>
        </w:tc>
      </w:tr>
      <w:tr w:rsidR="00A41667">
        <w:trPr>
          <w:trHeight w:val="397"/>
        </w:trPr>
        <w:tc>
          <w:tcPr>
            <w:tcW w:w="451" w:type="pct"/>
            <w:vMerge/>
            <w:vAlign w:val="center"/>
          </w:tcPr>
          <w:p w:rsidR="00A41667" w:rsidRDefault="00A41667">
            <w:pPr>
              <w:snapToGrid w:val="0"/>
              <w:jc w:val="center"/>
              <w:rPr>
                <w:sz w:val="2"/>
                <w:szCs w:val="2"/>
              </w:rPr>
            </w:pPr>
          </w:p>
        </w:tc>
        <w:tc>
          <w:tcPr>
            <w:tcW w:w="1160" w:type="pct"/>
            <w:vAlign w:val="center"/>
          </w:tcPr>
          <w:p w:rsidR="00A41667" w:rsidRDefault="00E268B2">
            <w:pPr>
              <w:pStyle w:val="TableParagraph"/>
              <w:snapToGrid w:val="0"/>
              <w:jc w:val="center"/>
              <w:rPr>
                <w:b/>
                <w:sz w:val="16"/>
              </w:rPr>
            </w:pPr>
            <w:r>
              <w:rPr>
                <w:b/>
                <w:sz w:val="16"/>
              </w:rPr>
              <w:t>将场地要素从比赛场地上移除</w:t>
            </w:r>
          </w:p>
        </w:tc>
        <w:tc>
          <w:tcPr>
            <w:tcW w:w="1782" w:type="pct"/>
            <w:vAlign w:val="center"/>
          </w:tcPr>
          <w:p w:rsidR="00A41667" w:rsidRDefault="00E268B2">
            <w:pPr>
              <w:pStyle w:val="TableParagraph"/>
              <w:snapToGrid w:val="0"/>
              <w:jc w:val="both"/>
              <w:rPr>
                <w:sz w:val="16"/>
              </w:rPr>
            </w:pPr>
            <w:r>
              <w:rPr>
                <w:sz w:val="16"/>
              </w:rPr>
              <w:t>以得分为目的不计入</w:t>
            </w:r>
          </w:p>
        </w:tc>
        <w:tc>
          <w:tcPr>
            <w:tcW w:w="278"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c>
          <w:tcPr>
            <w:tcW w:w="286" w:type="pct"/>
            <w:vAlign w:val="center"/>
          </w:tcPr>
          <w:p w:rsidR="00A41667" w:rsidRDefault="00A41667">
            <w:pPr>
              <w:pStyle w:val="TableParagraph"/>
              <w:snapToGrid w:val="0"/>
              <w:jc w:val="center"/>
              <w:rPr>
                <w:rFonts w:ascii="Times New Roman"/>
                <w:sz w:val="16"/>
              </w:rPr>
            </w:pPr>
          </w:p>
        </w:tc>
        <w:tc>
          <w:tcPr>
            <w:tcW w:w="293" w:type="pct"/>
            <w:vAlign w:val="center"/>
          </w:tcPr>
          <w:p w:rsidR="00A41667" w:rsidRDefault="00A41667">
            <w:pPr>
              <w:pStyle w:val="TableParagraph"/>
              <w:snapToGrid w:val="0"/>
              <w:jc w:val="center"/>
              <w:rPr>
                <w:rFonts w:ascii="Times New Roman"/>
                <w:sz w:val="16"/>
              </w:rPr>
            </w:pPr>
          </w:p>
        </w:tc>
        <w:tc>
          <w:tcPr>
            <w:tcW w:w="278" w:type="pct"/>
            <w:vAlign w:val="center"/>
          </w:tcPr>
          <w:p w:rsidR="00A41667" w:rsidRDefault="00A41667">
            <w:pPr>
              <w:pStyle w:val="TableParagraph"/>
              <w:snapToGrid w:val="0"/>
              <w:jc w:val="center"/>
              <w:rPr>
                <w:rFonts w:ascii="Times New Roman"/>
                <w:sz w:val="16"/>
              </w:rPr>
            </w:pPr>
          </w:p>
        </w:tc>
        <w:tc>
          <w:tcPr>
            <w:tcW w:w="468" w:type="pct"/>
            <w:vAlign w:val="center"/>
          </w:tcPr>
          <w:p w:rsidR="00A41667" w:rsidRDefault="00A41667">
            <w:pPr>
              <w:pStyle w:val="TableParagraph"/>
              <w:snapToGrid w:val="0"/>
              <w:jc w:val="center"/>
              <w:rPr>
                <w:rFonts w:ascii="Times New Roman"/>
                <w:sz w:val="16"/>
              </w:rPr>
            </w:pPr>
          </w:p>
        </w:tc>
      </w:tr>
      <w:tr w:rsidR="00A41667">
        <w:trPr>
          <w:trHeight w:val="397"/>
        </w:trPr>
        <w:tc>
          <w:tcPr>
            <w:tcW w:w="451" w:type="pct"/>
            <w:vMerge/>
            <w:vAlign w:val="center"/>
          </w:tcPr>
          <w:p w:rsidR="00A41667" w:rsidRDefault="00A41667">
            <w:pPr>
              <w:snapToGrid w:val="0"/>
              <w:jc w:val="center"/>
              <w:rPr>
                <w:sz w:val="2"/>
                <w:szCs w:val="2"/>
              </w:rPr>
            </w:pPr>
          </w:p>
        </w:tc>
        <w:tc>
          <w:tcPr>
            <w:tcW w:w="1160" w:type="pct"/>
            <w:vAlign w:val="center"/>
          </w:tcPr>
          <w:p w:rsidR="00A41667" w:rsidRDefault="00E268B2">
            <w:pPr>
              <w:pStyle w:val="TableParagraph"/>
              <w:snapToGrid w:val="0"/>
              <w:jc w:val="center"/>
              <w:rPr>
                <w:b/>
                <w:sz w:val="16"/>
              </w:rPr>
            </w:pPr>
            <w:r>
              <w:rPr>
                <w:b/>
                <w:sz w:val="16"/>
              </w:rPr>
              <w:t>将不允许抛射的场地要素抛到对方场地</w:t>
            </w:r>
          </w:p>
        </w:tc>
        <w:tc>
          <w:tcPr>
            <w:tcW w:w="1782" w:type="pct"/>
            <w:vAlign w:val="center"/>
          </w:tcPr>
          <w:p w:rsidR="00A41667" w:rsidRDefault="00E268B2">
            <w:pPr>
              <w:pStyle w:val="TableParagraph"/>
              <w:snapToGrid w:val="0"/>
              <w:jc w:val="both"/>
              <w:rPr>
                <w:sz w:val="16"/>
              </w:rPr>
            </w:pPr>
            <w:r>
              <w:rPr>
                <w:sz w:val="16"/>
              </w:rPr>
              <w:t>如造成对方场地要素的变化，需暂停还原</w:t>
            </w:r>
          </w:p>
        </w:tc>
        <w:tc>
          <w:tcPr>
            <w:tcW w:w="278" w:type="pct"/>
            <w:vAlign w:val="center"/>
          </w:tcPr>
          <w:p w:rsidR="00A41667" w:rsidRDefault="00A41667">
            <w:pPr>
              <w:pStyle w:val="TableParagraph"/>
              <w:snapToGrid w:val="0"/>
              <w:jc w:val="center"/>
              <w:rPr>
                <w:rFonts w:ascii="Times New Roman"/>
                <w:sz w:val="16"/>
              </w:rPr>
            </w:pPr>
          </w:p>
        </w:tc>
        <w:tc>
          <w:tcPr>
            <w:tcW w:w="286"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c>
          <w:tcPr>
            <w:tcW w:w="293" w:type="pct"/>
            <w:vAlign w:val="center"/>
          </w:tcPr>
          <w:p w:rsidR="00A41667" w:rsidRDefault="00A41667">
            <w:pPr>
              <w:pStyle w:val="TableParagraph"/>
              <w:snapToGrid w:val="0"/>
              <w:jc w:val="center"/>
              <w:rPr>
                <w:rFonts w:ascii="Times New Roman"/>
                <w:sz w:val="16"/>
              </w:rPr>
            </w:pPr>
          </w:p>
        </w:tc>
        <w:tc>
          <w:tcPr>
            <w:tcW w:w="278" w:type="pct"/>
            <w:vAlign w:val="center"/>
          </w:tcPr>
          <w:p w:rsidR="00A41667" w:rsidRDefault="00A41667">
            <w:pPr>
              <w:pStyle w:val="TableParagraph"/>
              <w:snapToGrid w:val="0"/>
              <w:jc w:val="center"/>
              <w:rPr>
                <w:rFonts w:ascii="Times New Roman"/>
                <w:sz w:val="16"/>
              </w:rPr>
            </w:pPr>
          </w:p>
        </w:tc>
        <w:tc>
          <w:tcPr>
            <w:tcW w:w="468" w:type="pct"/>
            <w:vAlign w:val="center"/>
          </w:tcPr>
          <w:p w:rsidR="00A41667" w:rsidRDefault="00A41667">
            <w:pPr>
              <w:pStyle w:val="TableParagraph"/>
              <w:snapToGrid w:val="0"/>
              <w:jc w:val="center"/>
              <w:rPr>
                <w:rFonts w:ascii="Times New Roman"/>
                <w:sz w:val="16"/>
              </w:rPr>
            </w:pPr>
          </w:p>
        </w:tc>
      </w:tr>
      <w:tr w:rsidR="00A41667">
        <w:trPr>
          <w:trHeight w:val="397"/>
        </w:trPr>
        <w:tc>
          <w:tcPr>
            <w:tcW w:w="451" w:type="pct"/>
            <w:vMerge/>
            <w:vAlign w:val="center"/>
          </w:tcPr>
          <w:p w:rsidR="00A41667" w:rsidRDefault="00A41667">
            <w:pPr>
              <w:snapToGrid w:val="0"/>
              <w:jc w:val="center"/>
              <w:rPr>
                <w:sz w:val="2"/>
                <w:szCs w:val="2"/>
              </w:rPr>
            </w:pPr>
          </w:p>
        </w:tc>
        <w:tc>
          <w:tcPr>
            <w:tcW w:w="1160" w:type="pct"/>
            <w:vAlign w:val="center"/>
          </w:tcPr>
          <w:p w:rsidR="00A41667" w:rsidRDefault="00E268B2">
            <w:pPr>
              <w:pStyle w:val="TableParagraph"/>
              <w:snapToGrid w:val="0"/>
              <w:jc w:val="center"/>
              <w:rPr>
                <w:b/>
                <w:sz w:val="16"/>
              </w:rPr>
            </w:pPr>
            <w:r>
              <w:rPr>
                <w:b/>
                <w:sz w:val="16"/>
              </w:rPr>
              <w:t>场地要素难以从机器人移除</w:t>
            </w:r>
          </w:p>
        </w:tc>
        <w:tc>
          <w:tcPr>
            <w:tcW w:w="1782" w:type="pct"/>
            <w:vAlign w:val="center"/>
          </w:tcPr>
          <w:p w:rsidR="00A41667" w:rsidRDefault="00E268B2">
            <w:pPr>
              <w:pStyle w:val="TableParagraph"/>
              <w:snapToGrid w:val="0"/>
              <w:jc w:val="both"/>
              <w:rPr>
                <w:sz w:val="16"/>
              </w:rPr>
            </w:pPr>
            <w:r>
              <w:rPr>
                <w:sz w:val="16"/>
              </w:rPr>
              <w:t>反复违规影响赛程将取消其比赛资格</w:t>
            </w:r>
          </w:p>
        </w:tc>
        <w:tc>
          <w:tcPr>
            <w:tcW w:w="278" w:type="pct"/>
            <w:vAlign w:val="center"/>
          </w:tcPr>
          <w:p w:rsidR="00A41667" w:rsidRDefault="00A41667">
            <w:pPr>
              <w:pStyle w:val="TableParagraph"/>
              <w:snapToGrid w:val="0"/>
              <w:jc w:val="center"/>
              <w:rPr>
                <w:rFonts w:ascii="Times New Roman"/>
                <w:sz w:val="16"/>
              </w:rPr>
            </w:pPr>
          </w:p>
        </w:tc>
        <w:tc>
          <w:tcPr>
            <w:tcW w:w="286" w:type="pct"/>
            <w:vAlign w:val="center"/>
          </w:tcPr>
          <w:p w:rsidR="00A41667" w:rsidRDefault="00A41667">
            <w:pPr>
              <w:pStyle w:val="TableParagraph"/>
              <w:snapToGrid w:val="0"/>
              <w:jc w:val="center"/>
              <w:rPr>
                <w:rFonts w:ascii="Times New Roman"/>
                <w:sz w:val="16"/>
              </w:rPr>
            </w:pPr>
          </w:p>
        </w:tc>
        <w:tc>
          <w:tcPr>
            <w:tcW w:w="293" w:type="pct"/>
            <w:vAlign w:val="center"/>
          </w:tcPr>
          <w:p w:rsidR="00A41667" w:rsidRDefault="00A41667">
            <w:pPr>
              <w:pStyle w:val="TableParagraph"/>
              <w:snapToGrid w:val="0"/>
              <w:jc w:val="center"/>
              <w:rPr>
                <w:rFonts w:ascii="Times New Roman"/>
                <w:sz w:val="16"/>
              </w:rPr>
            </w:pPr>
          </w:p>
        </w:tc>
        <w:tc>
          <w:tcPr>
            <w:tcW w:w="278" w:type="pct"/>
            <w:vAlign w:val="center"/>
          </w:tcPr>
          <w:p w:rsidR="00A41667" w:rsidRDefault="00A41667">
            <w:pPr>
              <w:pStyle w:val="TableParagraph"/>
              <w:snapToGrid w:val="0"/>
              <w:jc w:val="center"/>
              <w:rPr>
                <w:rFonts w:ascii="Times New Roman"/>
                <w:sz w:val="16"/>
              </w:rPr>
            </w:pPr>
          </w:p>
        </w:tc>
        <w:tc>
          <w:tcPr>
            <w:tcW w:w="468"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r>
      <w:tr w:rsidR="00A41667">
        <w:trPr>
          <w:trHeight w:val="397"/>
        </w:trPr>
        <w:tc>
          <w:tcPr>
            <w:tcW w:w="451" w:type="pct"/>
            <w:vMerge/>
            <w:vAlign w:val="center"/>
          </w:tcPr>
          <w:p w:rsidR="00A41667" w:rsidRDefault="00A41667">
            <w:pPr>
              <w:snapToGrid w:val="0"/>
              <w:jc w:val="center"/>
              <w:rPr>
                <w:sz w:val="2"/>
                <w:szCs w:val="2"/>
              </w:rPr>
            </w:pPr>
          </w:p>
        </w:tc>
        <w:tc>
          <w:tcPr>
            <w:tcW w:w="1160" w:type="pct"/>
            <w:vAlign w:val="center"/>
          </w:tcPr>
          <w:p w:rsidR="00A41667" w:rsidRDefault="00E268B2">
            <w:pPr>
              <w:pStyle w:val="TableParagraph"/>
              <w:snapToGrid w:val="0"/>
              <w:jc w:val="center"/>
              <w:rPr>
                <w:b/>
                <w:sz w:val="16"/>
              </w:rPr>
            </w:pPr>
            <w:r>
              <w:rPr>
                <w:b/>
                <w:sz w:val="16"/>
              </w:rPr>
              <w:t>完全进入对方区域</w:t>
            </w:r>
          </w:p>
        </w:tc>
        <w:tc>
          <w:tcPr>
            <w:tcW w:w="1782" w:type="pct"/>
            <w:vAlign w:val="center"/>
          </w:tcPr>
          <w:p w:rsidR="00A41667" w:rsidRDefault="00E268B2">
            <w:pPr>
              <w:pStyle w:val="TableParagraph"/>
              <w:snapToGrid w:val="0"/>
              <w:jc w:val="both"/>
              <w:rPr>
                <w:sz w:val="16"/>
              </w:rPr>
            </w:pPr>
            <w:r>
              <w:rPr>
                <w:sz w:val="16"/>
              </w:rPr>
              <w:t>经处罚后未回到本联队区域，将追至红牌判罚。</w:t>
            </w:r>
          </w:p>
        </w:tc>
        <w:tc>
          <w:tcPr>
            <w:tcW w:w="278" w:type="pct"/>
            <w:vAlign w:val="center"/>
          </w:tcPr>
          <w:p w:rsidR="00A41667" w:rsidRDefault="00A41667">
            <w:pPr>
              <w:pStyle w:val="TableParagraph"/>
              <w:snapToGrid w:val="0"/>
              <w:jc w:val="center"/>
              <w:rPr>
                <w:rFonts w:ascii="Times New Roman"/>
                <w:sz w:val="16"/>
              </w:rPr>
            </w:pPr>
          </w:p>
        </w:tc>
        <w:tc>
          <w:tcPr>
            <w:tcW w:w="286"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c>
          <w:tcPr>
            <w:tcW w:w="293"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c>
          <w:tcPr>
            <w:tcW w:w="278" w:type="pct"/>
            <w:vAlign w:val="center"/>
          </w:tcPr>
          <w:p w:rsidR="00A41667" w:rsidRDefault="00A41667">
            <w:pPr>
              <w:pStyle w:val="TableParagraph"/>
              <w:snapToGrid w:val="0"/>
              <w:jc w:val="center"/>
              <w:rPr>
                <w:rFonts w:ascii="Times New Roman"/>
                <w:sz w:val="16"/>
              </w:rPr>
            </w:pPr>
          </w:p>
        </w:tc>
        <w:tc>
          <w:tcPr>
            <w:tcW w:w="468" w:type="pct"/>
            <w:vAlign w:val="center"/>
          </w:tcPr>
          <w:p w:rsidR="00A41667" w:rsidRDefault="00A41667">
            <w:pPr>
              <w:pStyle w:val="TableParagraph"/>
              <w:snapToGrid w:val="0"/>
              <w:jc w:val="center"/>
              <w:rPr>
                <w:rFonts w:ascii="Times New Roman"/>
                <w:sz w:val="16"/>
              </w:rPr>
            </w:pPr>
          </w:p>
        </w:tc>
      </w:tr>
      <w:tr w:rsidR="00A41667">
        <w:trPr>
          <w:trHeight w:val="397"/>
        </w:trPr>
        <w:tc>
          <w:tcPr>
            <w:tcW w:w="451" w:type="pct"/>
            <w:vMerge/>
            <w:vAlign w:val="center"/>
          </w:tcPr>
          <w:p w:rsidR="00A41667" w:rsidRDefault="00A41667">
            <w:pPr>
              <w:snapToGrid w:val="0"/>
              <w:jc w:val="center"/>
              <w:rPr>
                <w:sz w:val="2"/>
                <w:szCs w:val="2"/>
              </w:rPr>
            </w:pPr>
          </w:p>
        </w:tc>
        <w:tc>
          <w:tcPr>
            <w:tcW w:w="1160" w:type="pct"/>
            <w:vAlign w:val="center"/>
          </w:tcPr>
          <w:p w:rsidR="00A41667" w:rsidRDefault="00E268B2">
            <w:pPr>
              <w:pStyle w:val="TableParagraph"/>
              <w:snapToGrid w:val="0"/>
              <w:jc w:val="center"/>
              <w:rPr>
                <w:b/>
                <w:sz w:val="16"/>
              </w:rPr>
            </w:pPr>
            <w:r>
              <w:rPr>
                <w:b/>
                <w:sz w:val="16"/>
              </w:rPr>
              <w:t>别住或限制对方机器人</w:t>
            </w:r>
          </w:p>
        </w:tc>
        <w:tc>
          <w:tcPr>
            <w:tcW w:w="1782" w:type="pct"/>
            <w:vAlign w:val="center"/>
          </w:tcPr>
          <w:p w:rsidR="00A41667" w:rsidRDefault="00E268B2">
            <w:pPr>
              <w:pStyle w:val="TableParagraph"/>
              <w:snapToGrid w:val="0"/>
              <w:jc w:val="both"/>
              <w:rPr>
                <w:sz w:val="16"/>
              </w:rPr>
            </w:pPr>
            <w:r>
              <w:rPr>
                <w:sz w:val="16"/>
              </w:rPr>
              <w:t>故意限制对方，将受到惩罚</w:t>
            </w:r>
          </w:p>
        </w:tc>
        <w:tc>
          <w:tcPr>
            <w:tcW w:w="278"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c>
          <w:tcPr>
            <w:tcW w:w="286"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c>
          <w:tcPr>
            <w:tcW w:w="293"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c>
          <w:tcPr>
            <w:tcW w:w="278"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c>
          <w:tcPr>
            <w:tcW w:w="468"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r>
      <w:tr w:rsidR="00A41667">
        <w:trPr>
          <w:trHeight w:val="397"/>
        </w:trPr>
        <w:tc>
          <w:tcPr>
            <w:tcW w:w="451" w:type="pct"/>
            <w:vMerge/>
            <w:vAlign w:val="center"/>
          </w:tcPr>
          <w:p w:rsidR="00A41667" w:rsidRDefault="00A41667">
            <w:pPr>
              <w:snapToGrid w:val="0"/>
              <w:jc w:val="center"/>
              <w:rPr>
                <w:sz w:val="2"/>
                <w:szCs w:val="2"/>
              </w:rPr>
            </w:pPr>
          </w:p>
        </w:tc>
        <w:tc>
          <w:tcPr>
            <w:tcW w:w="1160" w:type="pct"/>
            <w:vAlign w:val="center"/>
          </w:tcPr>
          <w:p w:rsidR="00A41667" w:rsidRDefault="00E268B2">
            <w:pPr>
              <w:pStyle w:val="TableParagraph"/>
              <w:snapToGrid w:val="0"/>
              <w:jc w:val="center"/>
              <w:rPr>
                <w:b/>
                <w:sz w:val="16"/>
              </w:rPr>
            </w:pPr>
            <w:r>
              <w:rPr>
                <w:b/>
                <w:sz w:val="16"/>
              </w:rPr>
              <w:t>操控禁用机器人</w:t>
            </w:r>
          </w:p>
        </w:tc>
        <w:tc>
          <w:tcPr>
            <w:tcW w:w="1782" w:type="pct"/>
            <w:vAlign w:val="center"/>
          </w:tcPr>
          <w:p w:rsidR="00A41667" w:rsidRDefault="00E268B2">
            <w:pPr>
              <w:pStyle w:val="TableParagraph"/>
              <w:snapToGrid w:val="0"/>
              <w:jc w:val="both"/>
              <w:rPr>
                <w:sz w:val="16"/>
              </w:rPr>
            </w:pPr>
            <w:r>
              <w:rPr>
                <w:sz w:val="16"/>
              </w:rPr>
              <w:t>禁用后不得操控机器人，违规者首次将判罚违例，严重违规将判罚黄牌，</w:t>
            </w:r>
            <w:r>
              <w:rPr>
                <w:sz w:val="16"/>
              </w:rPr>
              <w:t xml:space="preserve"> </w:t>
            </w:r>
            <w:r>
              <w:rPr>
                <w:sz w:val="16"/>
              </w:rPr>
              <w:t>直至取消比赛资格。</w:t>
            </w:r>
          </w:p>
        </w:tc>
        <w:tc>
          <w:tcPr>
            <w:tcW w:w="278"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c>
          <w:tcPr>
            <w:tcW w:w="286"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c>
          <w:tcPr>
            <w:tcW w:w="293"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c>
          <w:tcPr>
            <w:tcW w:w="278"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c>
          <w:tcPr>
            <w:tcW w:w="468"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r>
      <w:tr w:rsidR="00A41667">
        <w:trPr>
          <w:trHeight w:val="397"/>
        </w:trPr>
        <w:tc>
          <w:tcPr>
            <w:tcW w:w="451" w:type="pct"/>
            <w:vMerge/>
            <w:vAlign w:val="center"/>
          </w:tcPr>
          <w:p w:rsidR="00A41667" w:rsidRDefault="00A41667">
            <w:pPr>
              <w:pStyle w:val="TableParagraph"/>
              <w:snapToGrid w:val="0"/>
              <w:jc w:val="center"/>
              <w:rPr>
                <w:rFonts w:ascii="Times New Roman"/>
                <w:sz w:val="16"/>
              </w:rPr>
            </w:pPr>
          </w:p>
        </w:tc>
        <w:tc>
          <w:tcPr>
            <w:tcW w:w="1160" w:type="pct"/>
            <w:vAlign w:val="center"/>
          </w:tcPr>
          <w:p w:rsidR="00A41667" w:rsidRDefault="00E268B2">
            <w:pPr>
              <w:pStyle w:val="TableParagraph"/>
              <w:snapToGrid w:val="0"/>
              <w:jc w:val="center"/>
              <w:rPr>
                <w:b/>
                <w:sz w:val="16"/>
              </w:rPr>
            </w:pPr>
            <w:r>
              <w:rPr>
                <w:b/>
                <w:sz w:val="16"/>
              </w:rPr>
              <w:t>过分行为</w:t>
            </w:r>
          </w:p>
        </w:tc>
        <w:tc>
          <w:tcPr>
            <w:tcW w:w="1782" w:type="pct"/>
            <w:vAlign w:val="center"/>
          </w:tcPr>
          <w:p w:rsidR="00A41667" w:rsidRDefault="00E268B2">
            <w:pPr>
              <w:pStyle w:val="TableParagraph"/>
              <w:snapToGrid w:val="0"/>
              <w:jc w:val="both"/>
              <w:rPr>
                <w:sz w:val="16"/>
              </w:rPr>
            </w:pPr>
            <w:r>
              <w:rPr>
                <w:sz w:val="16"/>
              </w:rPr>
              <w:t>过分的行为包括但不局限于：重复或公然的违规；对操控员、教练、比赛工作人员或参赛人员有不文明的行为；反复或公然做出违背安全的行为；两次违规将会被判罚取消比赛资格。</w:t>
            </w:r>
          </w:p>
        </w:tc>
        <w:tc>
          <w:tcPr>
            <w:tcW w:w="278"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c>
          <w:tcPr>
            <w:tcW w:w="286"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c>
          <w:tcPr>
            <w:tcW w:w="293"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c>
          <w:tcPr>
            <w:tcW w:w="278"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c>
          <w:tcPr>
            <w:tcW w:w="468"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r>
      <w:tr w:rsidR="00A41667">
        <w:trPr>
          <w:trHeight w:val="397"/>
        </w:trPr>
        <w:tc>
          <w:tcPr>
            <w:tcW w:w="451" w:type="pct"/>
            <w:vMerge/>
            <w:vAlign w:val="center"/>
          </w:tcPr>
          <w:p w:rsidR="00A41667" w:rsidRDefault="00A41667">
            <w:pPr>
              <w:snapToGrid w:val="0"/>
              <w:jc w:val="center"/>
              <w:rPr>
                <w:sz w:val="2"/>
                <w:szCs w:val="2"/>
              </w:rPr>
            </w:pPr>
          </w:p>
        </w:tc>
        <w:tc>
          <w:tcPr>
            <w:tcW w:w="1160" w:type="pct"/>
            <w:vAlign w:val="center"/>
          </w:tcPr>
          <w:p w:rsidR="00A41667" w:rsidRDefault="00E268B2">
            <w:pPr>
              <w:pStyle w:val="TableParagraph"/>
              <w:snapToGrid w:val="0"/>
              <w:jc w:val="center"/>
              <w:rPr>
                <w:b/>
                <w:sz w:val="16"/>
              </w:rPr>
            </w:pPr>
            <w:r>
              <w:rPr>
                <w:b/>
                <w:sz w:val="16"/>
              </w:rPr>
              <w:t>指导教练违规</w:t>
            </w:r>
          </w:p>
        </w:tc>
        <w:tc>
          <w:tcPr>
            <w:tcW w:w="1782" w:type="pct"/>
            <w:vAlign w:val="center"/>
          </w:tcPr>
          <w:p w:rsidR="00A41667" w:rsidRDefault="00E268B2">
            <w:pPr>
              <w:pStyle w:val="TableParagraph"/>
              <w:snapToGrid w:val="0"/>
              <w:jc w:val="both"/>
              <w:rPr>
                <w:sz w:val="16"/>
              </w:rPr>
            </w:pPr>
            <w:r>
              <w:rPr>
                <w:sz w:val="16"/>
              </w:rPr>
              <w:t>首次给予警告，反复公然的违规，裁判可视情况做出违例判罚，情况严重的可判罚至取消比赛资格。</w:t>
            </w:r>
          </w:p>
        </w:tc>
        <w:tc>
          <w:tcPr>
            <w:tcW w:w="278"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c>
          <w:tcPr>
            <w:tcW w:w="286"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c>
          <w:tcPr>
            <w:tcW w:w="293"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c>
          <w:tcPr>
            <w:tcW w:w="278"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c>
          <w:tcPr>
            <w:tcW w:w="468"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r>
      <w:tr w:rsidR="00A41667">
        <w:trPr>
          <w:trHeight w:val="397"/>
        </w:trPr>
        <w:tc>
          <w:tcPr>
            <w:tcW w:w="451" w:type="pct"/>
            <w:vMerge/>
            <w:vAlign w:val="center"/>
          </w:tcPr>
          <w:p w:rsidR="00A41667" w:rsidRDefault="00A41667">
            <w:pPr>
              <w:snapToGrid w:val="0"/>
              <w:jc w:val="center"/>
              <w:rPr>
                <w:sz w:val="2"/>
                <w:szCs w:val="2"/>
              </w:rPr>
            </w:pPr>
          </w:p>
        </w:tc>
        <w:tc>
          <w:tcPr>
            <w:tcW w:w="1160" w:type="pct"/>
            <w:vAlign w:val="center"/>
          </w:tcPr>
          <w:p w:rsidR="00A41667" w:rsidRDefault="00E268B2">
            <w:pPr>
              <w:pStyle w:val="TableParagraph"/>
              <w:snapToGrid w:val="0"/>
              <w:jc w:val="center"/>
              <w:rPr>
                <w:b/>
                <w:sz w:val="16"/>
              </w:rPr>
            </w:pPr>
            <w:r>
              <w:rPr>
                <w:b/>
                <w:sz w:val="16"/>
              </w:rPr>
              <w:t>场外接触交换零件</w:t>
            </w:r>
          </w:p>
        </w:tc>
        <w:tc>
          <w:tcPr>
            <w:tcW w:w="1782" w:type="pct"/>
            <w:vAlign w:val="center"/>
          </w:tcPr>
          <w:p w:rsidR="00A41667" w:rsidRDefault="00E268B2">
            <w:pPr>
              <w:pStyle w:val="TableParagraph"/>
              <w:snapToGrid w:val="0"/>
              <w:jc w:val="both"/>
              <w:rPr>
                <w:sz w:val="16"/>
              </w:rPr>
            </w:pPr>
            <w:r>
              <w:rPr>
                <w:sz w:val="16"/>
              </w:rPr>
              <w:t>比赛过程中严禁该行为发生。</w:t>
            </w:r>
          </w:p>
        </w:tc>
        <w:tc>
          <w:tcPr>
            <w:tcW w:w="278"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c>
          <w:tcPr>
            <w:tcW w:w="286"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c>
          <w:tcPr>
            <w:tcW w:w="293"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c>
          <w:tcPr>
            <w:tcW w:w="278"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c>
          <w:tcPr>
            <w:tcW w:w="468"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r>
      <w:tr w:rsidR="00A41667">
        <w:trPr>
          <w:trHeight w:val="397"/>
        </w:trPr>
        <w:tc>
          <w:tcPr>
            <w:tcW w:w="451" w:type="pct"/>
            <w:vMerge w:val="restart"/>
            <w:vAlign w:val="center"/>
          </w:tcPr>
          <w:p w:rsidR="00A41667" w:rsidRDefault="00E268B2">
            <w:pPr>
              <w:pStyle w:val="TableParagraph"/>
              <w:snapToGrid w:val="0"/>
              <w:jc w:val="center"/>
              <w:rPr>
                <w:b/>
                <w:sz w:val="16"/>
              </w:rPr>
            </w:pPr>
            <w:r>
              <w:rPr>
                <w:b/>
                <w:sz w:val="16"/>
              </w:rPr>
              <w:t>改装</w:t>
            </w:r>
          </w:p>
        </w:tc>
        <w:tc>
          <w:tcPr>
            <w:tcW w:w="1160" w:type="pct"/>
            <w:vAlign w:val="center"/>
          </w:tcPr>
          <w:p w:rsidR="00A41667" w:rsidRDefault="00E268B2">
            <w:pPr>
              <w:pStyle w:val="TableParagraph"/>
              <w:snapToGrid w:val="0"/>
              <w:jc w:val="center"/>
              <w:rPr>
                <w:b/>
                <w:sz w:val="16"/>
              </w:rPr>
            </w:pPr>
            <w:r>
              <w:rPr>
                <w:b/>
                <w:sz w:val="16"/>
              </w:rPr>
              <w:t>场地内进行改装</w:t>
            </w:r>
          </w:p>
        </w:tc>
        <w:tc>
          <w:tcPr>
            <w:tcW w:w="1782" w:type="pct"/>
            <w:vAlign w:val="center"/>
          </w:tcPr>
          <w:p w:rsidR="00A41667" w:rsidRDefault="00E268B2">
            <w:pPr>
              <w:pStyle w:val="TableParagraph"/>
              <w:snapToGrid w:val="0"/>
              <w:jc w:val="both"/>
              <w:rPr>
                <w:sz w:val="16"/>
              </w:rPr>
            </w:pPr>
            <w:r>
              <w:rPr>
                <w:sz w:val="16"/>
              </w:rPr>
              <w:t>选手需在场地外进行改装。</w:t>
            </w:r>
          </w:p>
        </w:tc>
        <w:tc>
          <w:tcPr>
            <w:tcW w:w="278"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c>
          <w:tcPr>
            <w:tcW w:w="286" w:type="pct"/>
            <w:vAlign w:val="center"/>
          </w:tcPr>
          <w:p w:rsidR="00A41667" w:rsidRDefault="00A41667">
            <w:pPr>
              <w:pStyle w:val="TableParagraph"/>
              <w:snapToGrid w:val="0"/>
              <w:jc w:val="center"/>
              <w:rPr>
                <w:rFonts w:ascii="Times New Roman"/>
                <w:sz w:val="16"/>
              </w:rPr>
            </w:pPr>
          </w:p>
        </w:tc>
        <w:tc>
          <w:tcPr>
            <w:tcW w:w="293" w:type="pct"/>
            <w:vAlign w:val="center"/>
          </w:tcPr>
          <w:p w:rsidR="00A41667" w:rsidRDefault="00A41667">
            <w:pPr>
              <w:pStyle w:val="TableParagraph"/>
              <w:snapToGrid w:val="0"/>
              <w:jc w:val="center"/>
              <w:rPr>
                <w:rFonts w:ascii="Times New Roman"/>
                <w:sz w:val="16"/>
              </w:rPr>
            </w:pPr>
          </w:p>
        </w:tc>
        <w:tc>
          <w:tcPr>
            <w:tcW w:w="278" w:type="pct"/>
            <w:vAlign w:val="center"/>
          </w:tcPr>
          <w:p w:rsidR="00A41667" w:rsidRDefault="00A41667">
            <w:pPr>
              <w:pStyle w:val="TableParagraph"/>
              <w:snapToGrid w:val="0"/>
              <w:jc w:val="center"/>
              <w:rPr>
                <w:rFonts w:ascii="Times New Roman"/>
                <w:sz w:val="16"/>
              </w:rPr>
            </w:pPr>
          </w:p>
        </w:tc>
        <w:tc>
          <w:tcPr>
            <w:tcW w:w="468" w:type="pct"/>
            <w:vAlign w:val="center"/>
          </w:tcPr>
          <w:p w:rsidR="00A41667" w:rsidRDefault="00A41667">
            <w:pPr>
              <w:pStyle w:val="TableParagraph"/>
              <w:snapToGrid w:val="0"/>
              <w:jc w:val="center"/>
              <w:rPr>
                <w:rFonts w:ascii="Times New Roman"/>
                <w:sz w:val="16"/>
              </w:rPr>
            </w:pPr>
          </w:p>
        </w:tc>
      </w:tr>
      <w:tr w:rsidR="00A41667">
        <w:trPr>
          <w:trHeight w:val="397"/>
        </w:trPr>
        <w:tc>
          <w:tcPr>
            <w:tcW w:w="451" w:type="pct"/>
            <w:vMerge/>
            <w:vAlign w:val="center"/>
          </w:tcPr>
          <w:p w:rsidR="00A41667" w:rsidRDefault="00A41667">
            <w:pPr>
              <w:snapToGrid w:val="0"/>
              <w:jc w:val="center"/>
              <w:rPr>
                <w:sz w:val="2"/>
                <w:szCs w:val="2"/>
              </w:rPr>
            </w:pPr>
          </w:p>
        </w:tc>
        <w:tc>
          <w:tcPr>
            <w:tcW w:w="1160" w:type="pct"/>
            <w:vAlign w:val="center"/>
          </w:tcPr>
          <w:p w:rsidR="00A41667" w:rsidRDefault="00E268B2">
            <w:pPr>
              <w:pStyle w:val="TableParagraph"/>
              <w:snapToGrid w:val="0"/>
              <w:jc w:val="center"/>
              <w:rPr>
                <w:b/>
                <w:sz w:val="16"/>
              </w:rPr>
            </w:pPr>
            <w:r>
              <w:rPr>
                <w:b/>
                <w:sz w:val="16"/>
              </w:rPr>
              <w:t>强化改装阶段主动改变场内比赛要素</w:t>
            </w:r>
          </w:p>
        </w:tc>
        <w:tc>
          <w:tcPr>
            <w:tcW w:w="1782" w:type="pct"/>
            <w:vAlign w:val="center"/>
          </w:tcPr>
          <w:p w:rsidR="00A41667" w:rsidRDefault="00E268B2">
            <w:pPr>
              <w:pStyle w:val="TableParagraph"/>
              <w:snapToGrid w:val="0"/>
              <w:jc w:val="both"/>
              <w:rPr>
                <w:sz w:val="16"/>
              </w:rPr>
            </w:pPr>
            <w:r>
              <w:rPr>
                <w:sz w:val="16"/>
              </w:rPr>
              <w:t>从机器人取下的比赛要素应放置在场内，不影响其他要素的状态改变。</w:t>
            </w:r>
          </w:p>
        </w:tc>
        <w:tc>
          <w:tcPr>
            <w:tcW w:w="278"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c>
          <w:tcPr>
            <w:tcW w:w="286" w:type="pct"/>
            <w:vAlign w:val="center"/>
          </w:tcPr>
          <w:p w:rsidR="00A41667" w:rsidRDefault="00A41667">
            <w:pPr>
              <w:pStyle w:val="TableParagraph"/>
              <w:snapToGrid w:val="0"/>
              <w:jc w:val="center"/>
              <w:rPr>
                <w:rFonts w:ascii="Times New Roman"/>
                <w:sz w:val="16"/>
              </w:rPr>
            </w:pPr>
          </w:p>
        </w:tc>
        <w:tc>
          <w:tcPr>
            <w:tcW w:w="293" w:type="pct"/>
            <w:vAlign w:val="center"/>
          </w:tcPr>
          <w:p w:rsidR="00A41667" w:rsidRDefault="00A41667">
            <w:pPr>
              <w:pStyle w:val="TableParagraph"/>
              <w:snapToGrid w:val="0"/>
              <w:jc w:val="center"/>
              <w:rPr>
                <w:rFonts w:ascii="Times New Roman"/>
                <w:sz w:val="16"/>
              </w:rPr>
            </w:pPr>
          </w:p>
        </w:tc>
        <w:tc>
          <w:tcPr>
            <w:tcW w:w="278" w:type="pct"/>
            <w:vAlign w:val="center"/>
          </w:tcPr>
          <w:p w:rsidR="00A41667" w:rsidRDefault="00A41667">
            <w:pPr>
              <w:pStyle w:val="TableParagraph"/>
              <w:snapToGrid w:val="0"/>
              <w:jc w:val="center"/>
              <w:rPr>
                <w:rFonts w:ascii="Times New Roman"/>
                <w:sz w:val="16"/>
              </w:rPr>
            </w:pPr>
          </w:p>
        </w:tc>
        <w:tc>
          <w:tcPr>
            <w:tcW w:w="468" w:type="pct"/>
            <w:vAlign w:val="center"/>
          </w:tcPr>
          <w:p w:rsidR="00A41667" w:rsidRDefault="00A41667">
            <w:pPr>
              <w:pStyle w:val="TableParagraph"/>
              <w:snapToGrid w:val="0"/>
              <w:jc w:val="center"/>
              <w:rPr>
                <w:rFonts w:ascii="Times New Roman"/>
                <w:sz w:val="16"/>
              </w:rPr>
            </w:pPr>
          </w:p>
        </w:tc>
      </w:tr>
      <w:tr w:rsidR="00A41667">
        <w:trPr>
          <w:trHeight w:val="397"/>
        </w:trPr>
        <w:tc>
          <w:tcPr>
            <w:tcW w:w="451" w:type="pct"/>
            <w:vMerge/>
            <w:vAlign w:val="center"/>
          </w:tcPr>
          <w:p w:rsidR="00A41667" w:rsidRDefault="00A41667">
            <w:pPr>
              <w:snapToGrid w:val="0"/>
              <w:jc w:val="center"/>
              <w:rPr>
                <w:sz w:val="2"/>
                <w:szCs w:val="2"/>
              </w:rPr>
            </w:pPr>
          </w:p>
        </w:tc>
        <w:tc>
          <w:tcPr>
            <w:tcW w:w="1160" w:type="pct"/>
            <w:vAlign w:val="center"/>
          </w:tcPr>
          <w:p w:rsidR="00A41667" w:rsidRDefault="00E268B2">
            <w:pPr>
              <w:pStyle w:val="TableParagraph"/>
              <w:snapToGrid w:val="0"/>
              <w:jc w:val="center"/>
              <w:rPr>
                <w:b/>
                <w:sz w:val="16"/>
              </w:rPr>
            </w:pPr>
            <w:r>
              <w:rPr>
                <w:b/>
                <w:sz w:val="16"/>
              </w:rPr>
              <w:t>强化改装阶段结束前未进入场地</w:t>
            </w:r>
          </w:p>
        </w:tc>
        <w:tc>
          <w:tcPr>
            <w:tcW w:w="1782" w:type="pct"/>
            <w:vAlign w:val="center"/>
          </w:tcPr>
          <w:p w:rsidR="00A41667" w:rsidRDefault="00E268B2">
            <w:pPr>
              <w:pStyle w:val="TableParagraph"/>
              <w:snapToGrid w:val="0"/>
              <w:jc w:val="both"/>
              <w:rPr>
                <w:sz w:val="16"/>
              </w:rPr>
            </w:pPr>
            <w:r>
              <w:rPr>
                <w:sz w:val="16"/>
              </w:rPr>
              <w:t>不得再放入机器人。</w:t>
            </w:r>
          </w:p>
        </w:tc>
        <w:tc>
          <w:tcPr>
            <w:tcW w:w="278" w:type="pct"/>
            <w:vAlign w:val="center"/>
          </w:tcPr>
          <w:p w:rsidR="00A41667" w:rsidRDefault="00A41667">
            <w:pPr>
              <w:pStyle w:val="TableParagraph"/>
              <w:snapToGrid w:val="0"/>
              <w:jc w:val="center"/>
              <w:rPr>
                <w:rFonts w:ascii="Times New Roman"/>
                <w:sz w:val="16"/>
              </w:rPr>
            </w:pPr>
          </w:p>
        </w:tc>
        <w:tc>
          <w:tcPr>
            <w:tcW w:w="286" w:type="pct"/>
            <w:vAlign w:val="center"/>
          </w:tcPr>
          <w:p w:rsidR="00A41667" w:rsidRDefault="00A41667">
            <w:pPr>
              <w:pStyle w:val="TableParagraph"/>
              <w:snapToGrid w:val="0"/>
              <w:jc w:val="center"/>
              <w:rPr>
                <w:rFonts w:ascii="Times New Roman"/>
                <w:sz w:val="16"/>
              </w:rPr>
            </w:pPr>
          </w:p>
        </w:tc>
        <w:tc>
          <w:tcPr>
            <w:tcW w:w="293" w:type="pct"/>
            <w:vAlign w:val="center"/>
          </w:tcPr>
          <w:p w:rsidR="00A41667" w:rsidRDefault="00A41667">
            <w:pPr>
              <w:pStyle w:val="TableParagraph"/>
              <w:snapToGrid w:val="0"/>
              <w:jc w:val="center"/>
              <w:rPr>
                <w:rFonts w:ascii="Times New Roman"/>
                <w:sz w:val="16"/>
              </w:rPr>
            </w:pPr>
          </w:p>
        </w:tc>
        <w:tc>
          <w:tcPr>
            <w:tcW w:w="278"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c>
          <w:tcPr>
            <w:tcW w:w="468" w:type="pct"/>
            <w:vAlign w:val="center"/>
          </w:tcPr>
          <w:p w:rsidR="00A41667" w:rsidRDefault="00A41667">
            <w:pPr>
              <w:pStyle w:val="TableParagraph"/>
              <w:snapToGrid w:val="0"/>
              <w:jc w:val="center"/>
              <w:rPr>
                <w:rFonts w:ascii="Times New Roman"/>
                <w:sz w:val="16"/>
              </w:rPr>
            </w:pPr>
          </w:p>
        </w:tc>
      </w:tr>
      <w:tr w:rsidR="00A41667">
        <w:trPr>
          <w:trHeight w:val="397"/>
        </w:trPr>
        <w:tc>
          <w:tcPr>
            <w:tcW w:w="451" w:type="pct"/>
            <w:vMerge/>
            <w:vAlign w:val="center"/>
          </w:tcPr>
          <w:p w:rsidR="00A41667" w:rsidRDefault="00A41667">
            <w:pPr>
              <w:snapToGrid w:val="0"/>
              <w:jc w:val="center"/>
              <w:rPr>
                <w:sz w:val="2"/>
                <w:szCs w:val="2"/>
              </w:rPr>
            </w:pPr>
          </w:p>
        </w:tc>
        <w:tc>
          <w:tcPr>
            <w:tcW w:w="1160" w:type="pct"/>
            <w:vAlign w:val="center"/>
          </w:tcPr>
          <w:p w:rsidR="00A41667" w:rsidRDefault="00E268B2">
            <w:pPr>
              <w:pStyle w:val="TableParagraph"/>
              <w:snapToGrid w:val="0"/>
              <w:jc w:val="center"/>
              <w:rPr>
                <w:b/>
                <w:sz w:val="16"/>
              </w:rPr>
            </w:pPr>
            <w:r>
              <w:rPr>
                <w:b/>
                <w:sz w:val="16"/>
              </w:rPr>
              <w:t>改装后携带得分物品进入场地</w:t>
            </w:r>
          </w:p>
        </w:tc>
        <w:tc>
          <w:tcPr>
            <w:tcW w:w="1782" w:type="pct"/>
            <w:vAlign w:val="center"/>
          </w:tcPr>
          <w:p w:rsidR="00A41667" w:rsidRDefault="00E268B2">
            <w:pPr>
              <w:pStyle w:val="TableParagraph"/>
              <w:snapToGrid w:val="0"/>
              <w:jc w:val="both"/>
              <w:rPr>
                <w:sz w:val="16"/>
              </w:rPr>
            </w:pPr>
            <w:r>
              <w:rPr>
                <w:sz w:val="16"/>
              </w:rPr>
              <w:t>携带比赛要素的机器人不得进入场地。</w:t>
            </w:r>
          </w:p>
        </w:tc>
        <w:tc>
          <w:tcPr>
            <w:tcW w:w="278" w:type="pct"/>
            <w:vAlign w:val="center"/>
          </w:tcPr>
          <w:p w:rsidR="00A41667" w:rsidRDefault="00A41667">
            <w:pPr>
              <w:pStyle w:val="TableParagraph"/>
              <w:snapToGrid w:val="0"/>
              <w:jc w:val="center"/>
              <w:rPr>
                <w:rFonts w:ascii="Times New Roman"/>
                <w:sz w:val="16"/>
              </w:rPr>
            </w:pPr>
          </w:p>
        </w:tc>
        <w:tc>
          <w:tcPr>
            <w:tcW w:w="286" w:type="pct"/>
            <w:vAlign w:val="center"/>
          </w:tcPr>
          <w:p w:rsidR="00A41667" w:rsidRDefault="00A41667">
            <w:pPr>
              <w:pStyle w:val="TableParagraph"/>
              <w:snapToGrid w:val="0"/>
              <w:jc w:val="center"/>
              <w:rPr>
                <w:rFonts w:ascii="Times New Roman"/>
                <w:sz w:val="16"/>
              </w:rPr>
            </w:pPr>
          </w:p>
        </w:tc>
        <w:tc>
          <w:tcPr>
            <w:tcW w:w="293" w:type="pct"/>
            <w:vAlign w:val="center"/>
          </w:tcPr>
          <w:p w:rsidR="00A41667" w:rsidRDefault="00A41667">
            <w:pPr>
              <w:pStyle w:val="TableParagraph"/>
              <w:snapToGrid w:val="0"/>
              <w:jc w:val="center"/>
              <w:rPr>
                <w:rFonts w:ascii="Times New Roman"/>
                <w:sz w:val="16"/>
              </w:rPr>
            </w:pPr>
          </w:p>
        </w:tc>
        <w:tc>
          <w:tcPr>
            <w:tcW w:w="278"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c>
          <w:tcPr>
            <w:tcW w:w="468" w:type="pct"/>
            <w:vAlign w:val="center"/>
          </w:tcPr>
          <w:p w:rsidR="00A41667" w:rsidRDefault="00A41667">
            <w:pPr>
              <w:pStyle w:val="TableParagraph"/>
              <w:snapToGrid w:val="0"/>
              <w:jc w:val="center"/>
              <w:rPr>
                <w:rFonts w:ascii="Times New Roman"/>
                <w:sz w:val="16"/>
              </w:rPr>
            </w:pPr>
          </w:p>
        </w:tc>
      </w:tr>
      <w:tr w:rsidR="00A41667">
        <w:trPr>
          <w:trHeight w:val="397"/>
        </w:trPr>
        <w:tc>
          <w:tcPr>
            <w:tcW w:w="451" w:type="pct"/>
            <w:vMerge/>
            <w:vAlign w:val="center"/>
          </w:tcPr>
          <w:p w:rsidR="00A41667" w:rsidRDefault="00A41667">
            <w:pPr>
              <w:snapToGrid w:val="0"/>
              <w:jc w:val="center"/>
              <w:rPr>
                <w:sz w:val="2"/>
                <w:szCs w:val="2"/>
              </w:rPr>
            </w:pPr>
          </w:p>
        </w:tc>
        <w:tc>
          <w:tcPr>
            <w:tcW w:w="1160" w:type="pct"/>
            <w:vAlign w:val="center"/>
          </w:tcPr>
          <w:p w:rsidR="00A41667" w:rsidRDefault="00E268B2">
            <w:pPr>
              <w:pStyle w:val="TableParagraph"/>
              <w:snapToGrid w:val="0"/>
              <w:jc w:val="center"/>
              <w:rPr>
                <w:b/>
                <w:sz w:val="16"/>
              </w:rPr>
            </w:pPr>
            <w:r>
              <w:rPr>
                <w:b/>
                <w:sz w:val="16"/>
              </w:rPr>
              <w:t>改装后不符合检查状态</w:t>
            </w:r>
          </w:p>
        </w:tc>
        <w:tc>
          <w:tcPr>
            <w:tcW w:w="1782" w:type="pct"/>
            <w:vAlign w:val="center"/>
          </w:tcPr>
          <w:p w:rsidR="00A41667" w:rsidRDefault="00E268B2">
            <w:pPr>
              <w:pStyle w:val="TableParagraph"/>
              <w:snapToGrid w:val="0"/>
              <w:jc w:val="both"/>
              <w:rPr>
                <w:sz w:val="16"/>
              </w:rPr>
            </w:pPr>
            <w:r>
              <w:rPr>
                <w:sz w:val="16"/>
              </w:rPr>
              <w:t>如有重大改动需放入场地后申报裁判进行检查。</w:t>
            </w:r>
          </w:p>
        </w:tc>
        <w:tc>
          <w:tcPr>
            <w:tcW w:w="278" w:type="pct"/>
            <w:vAlign w:val="center"/>
          </w:tcPr>
          <w:p w:rsidR="00A41667" w:rsidRDefault="00A41667">
            <w:pPr>
              <w:pStyle w:val="TableParagraph"/>
              <w:snapToGrid w:val="0"/>
              <w:jc w:val="center"/>
              <w:rPr>
                <w:rFonts w:ascii="Times New Roman"/>
                <w:sz w:val="16"/>
              </w:rPr>
            </w:pPr>
          </w:p>
        </w:tc>
        <w:tc>
          <w:tcPr>
            <w:tcW w:w="286" w:type="pct"/>
            <w:vAlign w:val="center"/>
          </w:tcPr>
          <w:p w:rsidR="00A41667" w:rsidRDefault="00A41667">
            <w:pPr>
              <w:pStyle w:val="TableParagraph"/>
              <w:snapToGrid w:val="0"/>
              <w:jc w:val="center"/>
              <w:rPr>
                <w:rFonts w:ascii="Times New Roman"/>
                <w:sz w:val="16"/>
              </w:rPr>
            </w:pPr>
          </w:p>
        </w:tc>
        <w:tc>
          <w:tcPr>
            <w:tcW w:w="293" w:type="pct"/>
            <w:vAlign w:val="center"/>
          </w:tcPr>
          <w:p w:rsidR="00A41667" w:rsidRDefault="00E268B2">
            <w:pPr>
              <w:pStyle w:val="TableParagraph"/>
              <w:snapToGrid w:val="0"/>
              <w:jc w:val="center"/>
              <w:rPr>
                <w:rFonts w:ascii="MS Mincho" w:hAnsi="MS Mincho"/>
                <w:sz w:val="21"/>
              </w:rPr>
            </w:pPr>
            <w:r>
              <w:rPr>
                <w:rFonts w:ascii="MS Mincho" w:hAnsi="MS Mincho"/>
                <w:sz w:val="21"/>
              </w:rPr>
              <w:t>✔</w:t>
            </w:r>
          </w:p>
        </w:tc>
        <w:tc>
          <w:tcPr>
            <w:tcW w:w="278" w:type="pct"/>
            <w:vAlign w:val="center"/>
          </w:tcPr>
          <w:p w:rsidR="00A41667" w:rsidRDefault="00A41667">
            <w:pPr>
              <w:pStyle w:val="TableParagraph"/>
              <w:snapToGrid w:val="0"/>
              <w:jc w:val="center"/>
              <w:rPr>
                <w:rFonts w:ascii="Times New Roman"/>
                <w:sz w:val="16"/>
              </w:rPr>
            </w:pPr>
          </w:p>
        </w:tc>
        <w:tc>
          <w:tcPr>
            <w:tcW w:w="468" w:type="pct"/>
            <w:vAlign w:val="center"/>
          </w:tcPr>
          <w:p w:rsidR="00A41667" w:rsidRDefault="00A41667">
            <w:pPr>
              <w:pStyle w:val="TableParagraph"/>
              <w:snapToGrid w:val="0"/>
              <w:jc w:val="center"/>
              <w:rPr>
                <w:rFonts w:ascii="Times New Roman"/>
                <w:sz w:val="16"/>
              </w:rPr>
            </w:pPr>
          </w:p>
        </w:tc>
      </w:tr>
    </w:tbl>
    <w:p w:rsidR="00A41667" w:rsidRDefault="00A41667">
      <w:pPr>
        <w:rPr>
          <w:rFonts w:ascii="Times New Roman"/>
          <w:sz w:val="16"/>
        </w:rPr>
        <w:sectPr w:rsidR="00A41667">
          <w:pgSz w:w="11910" w:h="16840"/>
          <w:pgMar w:top="1440" w:right="1077" w:bottom="1440" w:left="1077" w:header="851" w:footer="992" w:gutter="0"/>
          <w:cols w:space="720"/>
          <w:docGrid w:type="lines" w:linePitch="317"/>
        </w:sectPr>
      </w:pPr>
    </w:p>
    <w:p w:rsidR="00A41667" w:rsidRDefault="00E268B2">
      <w:pPr>
        <w:pStyle w:val="01"/>
        <w:spacing w:before="158" w:after="158"/>
        <w:rPr>
          <w:color w:val="auto"/>
        </w:rPr>
      </w:pPr>
      <w:bookmarkStart w:id="40" w:name="_Toc66889996"/>
      <w:r>
        <w:rPr>
          <w:color w:val="auto"/>
        </w:rPr>
        <w:lastRenderedPageBreak/>
        <w:t>附录</w:t>
      </w:r>
      <w:r>
        <w:rPr>
          <w:color w:val="auto"/>
        </w:rPr>
        <w:t xml:space="preserve"> 4</w:t>
      </w:r>
      <w:r>
        <w:rPr>
          <w:color w:val="auto"/>
        </w:rPr>
        <w:t>：航模电池使用说明</w:t>
      </w:r>
      <w:bookmarkEnd w:id="40"/>
    </w:p>
    <w:p w:rsidR="00A41667" w:rsidRDefault="00E268B2">
      <w:pPr>
        <w:pStyle w:val="05"/>
        <w:ind w:firstLine="420"/>
        <w:rPr>
          <w:color w:val="auto"/>
        </w:rPr>
      </w:pPr>
      <w:r>
        <w:rPr>
          <w:color w:val="auto"/>
        </w:rPr>
        <w:t>为了保证航模锂电池的使用安全，每个参赛队应指定一人专门负责监督电池的安全使用并向队友普及电池的安全使用知识。在使用过程中，应注意以下事项：</w:t>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color w:val="auto"/>
        </w:rPr>
        <w:t>使用航模锂电池前必须认真阅读并理解该电池安全使用指南。</w:t>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color w:val="auto"/>
        </w:rPr>
        <w:t>安全充电和放电。</w:t>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color w:val="auto"/>
        </w:rPr>
        <w:t>只使用厂家配套的专用充电器并仔细阅读充电器使用指南。充电时应确保有人在旁边，万一发生意外可以及时处理。不得过充和过放，单个电芯超过</w:t>
      </w:r>
      <w:r>
        <w:rPr>
          <w:color w:val="auto"/>
        </w:rPr>
        <w:t xml:space="preserve"> </w:t>
      </w:r>
      <w:r>
        <w:rPr>
          <w:rFonts w:eastAsia="Times New Roman"/>
          <w:color w:val="auto"/>
        </w:rPr>
        <w:t xml:space="preserve">4.2V </w:t>
      </w:r>
      <w:r>
        <w:rPr>
          <w:color w:val="auto"/>
        </w:rPr>
        <w:t>为过充，单个电芯低于</w:t>
      </w:r>
      <w:r>
        <w:rPr>
          <w:color w:val="auto"/>
        </w:rPr>
        <w:t xml:space="preserve"> </w:t>
      </w:r>
      <w:r>
        <w:rPr>
          <w:rFonts w:eastAsia="Times New Roman"/>
          <w:color w:val="auto"/>
        </w:rPr>
        <w:t xml:space="preserve">3.0V </w:t>
      </w:r>
      <w:r>
        <w:rPr>
          <w:color w:val="auto"/>
        </w:rPr>
        <w:t>为过放。过充可能会引起电池爆炸，过放容易损伤电池，缩短电池使用寿命。</w:t>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color w:val="auto"/>
        </w:rPr>
        <w:t>在充电或者使用前应仔细检查电池电压、电量。</w:t>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color w:val="auto"/>
        </w:rPr>
        <w:t>应在</w:t>
      </w:r>
      <w:r>
        <w:rPr>
          <w:color w:val="auto"/>
        </w:rPr>
        <w:t xml:space="preserve"> 0-45</w:t>
      </w:r>
      <w:r>
        <w:rPr>
          <w:rFonts w:ascii="宋体" w:hAnsi="宋体" w:cs="宋体" w:hint="eastAsia"/>
          <w:color w:val="auto"/>
        </w:rPr>
        <w:t>℃</w:t>
      </w:r>
      <w:r>
        <w:rPr>
          <w:color w:val="auto"/>
        </w:rPr>
        <w:t>温度范围内充电。</w:t>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color w:val="auto"/>
        </w:rPr>
        <w:t>安全存储。</w:t>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color w:val="auto"/>
        </w:rPr>
        <w:t>在任何时候，都不能让电池过热，在温度高于</w:t>
      </w:r>
      <w:r>
        <w:rPr>
          <w:color w:val="auto"/>
        </w:rPr>
        <w:t xml:space="preserve"> </w:t>
      </w:r>
      <w:r>
        <w:rPr>
          <w:rFonts w:eastAsia="Times New Roman"/>
          <w:color w:val="auto"/>
        </w:rPr>
        <w:t>60</w:t>
      </w:r>
      <w:r>
        <w:rPr>
          <w:rFonts w:ascii="宋体" w:hAnsi="宋体" w:cs="宋体" w:hint="eastAsia"/>
          <w:color w:val="auto"/>
        </w:rPr>
        <w:t>℃</w:t>
      </w:r>
      <w:r>
        <w:rPr>
          <w:color w:val="auto"/>
        </w:rPr>
        <w:t>后，会存在安全隐患，甚至是燃烧</w:t>
      </w:r>
      <w:r>
        <w:rPr>
          <w:color w:val="auto"/>
        </w:rPr>
        <w:t>。</w:t>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color w:val="auto"/>
        </w:rPr>
        <w:t>在充电时，电池不可接近或者直接放置在易燃物品（纸张、塑料等）上。最好在防火的保险箱里进行充电。</w:t>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color w:val="auto"/>
        </w:rPr>
        <w:t>勿将电池接近液体、明火或加热器，将电池放置在儿童够不着的地方。</w:t>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color w:val="auto"/>
        </w:rPr>
        <w:t>勿私自组装电池，将旧电池电芯拆开后重组、或者将拆开后的某一片电芯与另外一组电池重组的电芯重组的行为都是危险的（无专用的组装仪器易引起短路燃烧）</w:t>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color w:val="auto"/>
        </w:rPr>
        <w:t>如在使用过程中发生碰撞，应将电池取出。仔细检测电池及连接器是否正常，以防万一。（注意：电池有可能高温烫手）</w:t>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color w:val="auto"/>
        </w:rPr>
        <w:t>勿将电解液溅到眼睛或皮肤上。如不慎溅到，应立即用清水清洗，严重者应立即就医。</w:t>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color w:val="auto"/>
        </w:rPr>
        <w:t>不得将电池短路（正负极相接）。</w:t>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color w:val="auto"/>
        </w:rPr>
        <w:t>不得直接接触有漏液现象的电池。</w:t>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color w:val="auto"/>
        </w:rPr>
        <w:t>长期不用的电池，应保证</w:t>
      </w:r>
      <w:r>
        <w:rPr>
          <w:color w:val="auto"/>
        </w:rPr>
        <w:t xml:space="preserve"> </w:t>
      </w:r>
      <w:r>
        <w:rPr>
          <w:rFonts w:eastAsia="Times New Roman"/>
          <w:color w:val="auto"/>
        </w:rPr>
        <w:t xml:space="preserve">3 </w:t>
      </w:r>
      <w:r>
        <w:rPr>
          <w:color w:val="auto"/>
        </w:rPr>
        <w:t>个月内进行一次充放电，以维持电池的稳定性。</w:t>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color w:val="auto"/>
        </w:rPr>
        <w:t>在保存和运输电池的过程中，应将电池放在专用的防火安全袋或安全箱内。</w:t>
      </w:r>
    </w:p>
    <w:p w:rsidR="00A41667" w:rsidRDefault="00A41667">
      <w:pPr>
        <w:pStyle w:val="05"/>
        <w:ind w:firstLine="420"/>
        <w:rPr>
          <w:color w:val="auto"/>
        </w:rPr>
      </w:pPr>
    </w:p>
    <w:p w:rsidR="00A41667" w:rsidRDefault="00A41667">
      <w:pPr>
        <w:pStyle w:val="05"/>
        <w:ind w:firstLine="420"/>
        <w:rPr>
          <w:color w:val="auto"/>
        </w:rPr>
        <w:sectPr w:rsidR="00A41667">
          <w:pgSz w:w="11910" w:h="16840"/>
          <w:pgMar w:top="1440" w:right="1077" w:bottom="1440" w:left="1077" w:header="851" w:footer="992" w:gutter="0"/>
          <w:cols w:space="720"/>
          <w:docGrid w:type="lines" w:linePitch="317"/>
        </w:sectPr>
      </w:pPr>
    </w:p>
    <w:p w:rsidR="00A41667" w:rsidRDefault="00E268B2">
      <w:pPr>
        <w:pStyle w:val="01"/>
        <w:spacing w:before="158" w:after="158"/>
        <w:rPr>
          <w:color w:val="auto"/>
        </w:rPr>
      </w:pPr>
      <w:bookmarkStart w:id="41" w:name="_Toc66889997"/>
      <w:r>
        <w:rPr>
          <w:color w:val="auto"/>
        </w:rPr>
        <w:lastRenderedPageBreak/>
        <w:t>附录</w:t>
      </w:r>
      <w:r>
        <w:rPr>
          <w:color w:val="auto"/>
        </w:rPr>
        <w:t xml:space="preserve"> </w:t>
      </w:r>
      <w:r>
        <w:rPr>
          <w:rFonts w:eastAsia="Times New Roman"/>
          <w:color w:val="auto"/>
        </w:rPr>
        <w:t>5</w:t>
      </w:r>
      <w:r>
        <w:rPr>
          <w:color w:val="auto"/>
        </w:rPr>
        <w:t>：电源管理模块</w:t>
      </w:r>
      <w:bookmarkEnd w:id="41"/>
    </w:p>
    <w:p w:rsidR="00A41667" w:rsidRDefault="00E268B2">
      <w:pPr>
        <w:pStyle w:val="08"/>
        <w:rPr>
          <w:color w:val="auto"/>
        </w:rPr>
      </w:pPr>
      <w:r>
        <w:rPr>
          <w:color w:val="auto"/>
        </w:rPr>
        <w:t>电源管理模块介绍</w:t>
      </w:r>
    </w:p>
    <w:p w:rsidR="00A41667" w:rsidRDefault="00E268B2">
      <w:pPr>
        <w:pStyle w:val="05"/>
        <w:ind w:firstLine="420"/>
        <w:rPr>
          <w:color w:val="auto"/>
        </w:rPr>
      </w:pPr>
      <w:r>
        <w:rPr>
          <w:color w:val="auto"/>
        </w:rPr>
        <w:t>电源管理模块将与主板（</w:t>
      </w:r>
      <w:r>
        <w:rPr>
          <w:rFonts w:eastAsia="Times New Roman"/>
          <w:color w:val="auto"/>
        </w:rPr>
        <w:t>NovaPi</w:t>
      </w:r>
      <w:r>
        <w:rPr>
          <w:color w:val="auto"/>
        </w:rPr>
        <w:t>）搭配使用，它是参加</w:t>
      </w:r>
      <w:r>
        <w:rPr>
          <w:color w:val="auto"/>
        </w:rPr>
        <w:t xml:space="preserve"> </w:t>
      </w:r>
      <w:r>
        <w:rPr>
          <w:rFonts w:eastAsia="Times New Roman"/>
          <w:color w:val="auto"/>
        </w:rPr>
        <w:t xml:space="preserve">MakeX </w:t>
      </w:r>
      <w:r>
        <w:rPr>
          <w:color w:val="auto"/>
        </w:rPr>
        <w:t>机器人挑战赛</w:t>
      </w:r>
      <w:r>
        <w:rPr>
          <w:color w:val="auto"/>
        </w:rPr>
        <w:t>“</w:t>
      </w:r>
      <w:r>
        <w:rPr>
          <w:color w:val="auto"/>
        </w:rPr>
        <w:t>智能制造</w:t>
      </w:r>
      <w:r>
        <w:rPr>
          <w:color w:val="auto"/>
        </w:rPr>
        <w:t>”</w:t>
      </w:r>
      <w:r>
        <w:rPr>
          <w:color w:val="auto"/>
        </w:rPr>
        <w:t>比赛的必备电子器件。</w:t>
      </w:r>
    </w:p>
    <w:p w:rsidR="00A41667" w:rsidRDefault="00E268B2">
      <w:pPr>
        <w:pStyle w:val="05"/>
        <w:ind w:firstLine="420"/>
        <w:rPr>
          <w:color w:val="auto"/>
        </w:rPr>
      </w:pPr>
      <w:r>
        <w:rPr>
          <w:color w:val="auto"/>
        </w:rPr>
        <w:t>在比赛过程中，电源管理模块将与</w:t>
      </w:r>
      <w:r>
        <w:rPr>
          <w:color w:val="auto"/>
        </w:rPr>
        <w:t xml:space="preserve"> </w:t>
      </w:r>
      <w:r>
        <w:rPr>
          <w:rFonts w:eastAsia="Times New Roman"/>
          <w:color w:val="auto"/>
        </w:rPr>
        <w:t xml:space="preserve">MakeX </w:t>
      </w:r>
      <w:r>
        <w:rPr>
          <w:color w:val="auto"/>
        </w:rPr>
        <w:t>比赛系统无线通信，从而使</w:t>
      </w:r>
      <w:r>
        <w:rPr>
          <w:color w:val="auto"/>
        </w:rPr>
        <w:t xml:space="preserve"> </w:t>
      </w:r>
      <w:r>
        <w:rPr>
          <w:rFonts w:eastAsia="Times New Roman"/>
          <w:color w:val="auto"/>
        </w:rPr>
        <w:t xml:space="preserve">MakeX </w:t>
      </w:r>
      <w:r>
        <w:rPr>
          <w:color w:val="auto"/>
        </w:rPr>
        <w:t>比赛系统可以控</w:t>
      </w:r>
      <w:r>
        <w:rPr>
          <w:color w:val="auto"/>
        </w:rPr>
        <w:t>制参赛队伍机器人的电源，以及切换自动和手动程序。</w:t>
      </w:r>
    </w:p>
    <w:p w:rsidR="00A41667" w:rsidRDefault="00E268B2">
      <w:pPr>
        <w:pStyle w:val="05"/>
        <w:ind w:firstLine="422"/>
        <w:rPr>
          <w:rFonts w:eastAsia="Times New Roman"/>
          <w:color w:val="auto"/>
        </w:rPr>
      </w:pPr>
      <w:r>
        <w:rPr>
          <w:b/>
          <w:color w:val="auto"/>
        </w:rPr>
        <w:t>模块尺寸：</w:t>
      </w:r>
      <w:r>
        <w:rPr>
          <w:rFonts w:eastAsia="Times New Roman"/>
          <w:color w:val="auto"/>
        </w:rPr>
        <w:t>85mm × 56mm × 11.5mm</w:t>
      </w:r>
    </w:p>
    <w:p w:rsidR="00A41667" w:rsidRDefault="00E268B2">
      <w:pPr>
        <w:pStyle w:val="05"/>
        <w:ind w:firstLine="422"/>
        <w:rPr>
          <w:rFonts w:eastAsia="Times New Roman"/>
          <w:color w:val="auto"/>
        </w:rPr>
      </w:pPr>
      <w:r>
        <w:rPr>
          <w:b/>
          <w:color w:val="auto"/>
        </w:rPr>
        <w:t>工作电压：</w:t>
      </w:r>
      <w:r>
        <w:rPr>
          <w:b/>
          <w:color w:val="auto"/>
        </w:rPr>
        <w:t xml:space="preserve"> </w:t>
      </w:r>
      <w:r>
        <w:rPr>
          <w:rFonts w:eastAsia="Times New Roman"/>
          <w:color w:val="auto"/>
        </w:rPr>
        <w:t>6V—12V</w:t>
      </w:r>
    </w:p>
    <w:p w:rsidR="00A41667" w:rsidRDefault="00E268B2">
      <w:pPr>
        <w:pStyle w:val="07"/>
        <w:rPr>
          <w:sz w:val="13"/>
        </w:rPr>
      </w:pPr>
      <w:r>
        <w:rPr>
          <w:noProof/>
          <w:lang w:val="en-US" w:bidi="ar-SA"/>
        </w:rPr>
        <w:drawing>
          <wp:inline distT="0" distB="0" distL="0" distR="0">
            <wp:extent cx="3115310" cy="1921510"/>
            <wp:effectExtent l="0" t="0" r="0" b="0"/>
            <wp:docPr id="1045" name="image20.jpeg"/>
            <wp:cNvGraphicFramePr/>
            <a:graphic xmlns:a="http://schemas.openxmlformats.org/drawingml/2006/main">
              <a:graphicData uri="http://schemas.openxmlformats.org/drawingml/2006/picture">
                <pic:pic xmlns:pic="http://schemas.openxmlformats.org/drawingml/2006/picture">
                  <pic:nvPicPr>
                    <pic:cNvPr id="1045" name="image20.jpeg"/>
                    <pic:cNvPicPr/>
                  </pic:nvPicPr>
                  <pic:blipFill>
                    <a:blip r:embed="rId29" cstate="print"/>
                    <a:srcRect/>
                    <a:stretch>
                      <a:fillRect/>
                    </a:stretch>
                  </pic:blipFill>
                  <pic:spPr>
                    <a:xfrm>
                      <a:off x="0" y="0"/>
                      <a:ext cx="3115310" cy="1921510"/>
                    </a:xfrm>
                    <a:prstGeom prst="rect">
                      <a:avLst/>
                    </a:prstGeom>
                  </pic:spPr>
                </pic:pic>
              </a:graphicData>
            </a:graphic>
          </wp:inline>
        </w:drawing>
      </w:r>
    </w:p>
    <w:p w:rsidR="00A41667" w:rsidRDefault="00E268B2">
      <w:pPr>
        <w:pStyle w:val="07"/>
        <w:rPr>
          <w:sz w:val="12"/>
        </w:rPr>
      </w:pPr>
      <w:r>
        <w:rPr>
          <w:noProof/>
          <w:lang w:val="en-US" w:bidi="ar-SA"/>
        </w:rPr>
        <w:drawing>
          <wp:inline distT="0" distB="0" distL="0" distR="0">
            <wp:extent cx="3339465" cy="2981960"/>
            <wp:effectExtent l="0" t="0" r="0" b="0"/>
            <wp:docPr id="1046" name="image21.jpeg" descr="C:\Users\make\Desktop\电源管理模块示意图.png"/>
            <wp:cNvGraphicFramePr/>
            <a:graphic xmlns:a="http://schemas.openxmlformats.org/drawingml/2006/main">
              <a:graphicData uri="http://schemas.openxmlformats.org/drawingml/2006/picture">
                <pic:pic xmlns:pic="http://schemas.openxmlformats.org/drawingml/2006/picture">
                  <pic:nvPicPr>
                    <pic:cNvPr id="1046" name="image21.jpeg" descr="C:\Users\make\Desktop\电源管理模块示意图.png"/>
                    <pic:cNvPicPr/>
                  </pic:nvPicPr>
                  <pic:blipFill>
                    <a:blip r:embed="rId30" cstate="print"/>
                    <a:srcRect/>
                    <a:stretch>
                      <a:fillRect/>
                    </a:stretch>
                  </pic:blipFill>
                  <pic:spPr>
                    <a:xfrm>
                      <a:off x="0" y="0"/>
                      <a:ext cx="3339465" cy="2981960"/>
                    </a:xfrm>
                    <a:prstGeom prst="rect">
                      <a:avLst/>
                    </a:prstGeom>
                  </pic:spPr>
                </pic:pic>
              </a:graphicData>
            </a:graphic>
          </wp:inline>
        </w:drawing>
      </w:r>
    </w:p>
    <w:p w:rsidR="00A41667" w:rsidRDefault="00E268B2">
      <w:pPr>
        <w:pStyle w:val="05"/>
        <w:ind w:firstLine="420"/>
        <w:rPr>
          <w:color w:val="auto"/>
        </w:rPr>
      </w:pPr>
      <w:r>
        <w:rPr>
          <w:color w:val="auto"/>
        </w:rPr>
        <w:t>板载</w:t>
      </w:r>
      <w:r>
        <w:rPr>
          <w:color w:val="auto"/>
        </w:rPr>
        <w:t xml:space="preserve"> </w:t>
      </w:r>
      <w:r>
        <w:rPr>
          <w:rFonts w:eastAsia="Times New Roman"/>
          <w:color w:val="auto"/>
        </w:rPr>
        <w:t xml:space="preserve">LED </w:t>
      </w:r>
      <w:r>
        <w:rPr>
          <w:color w:val="auto"/>
        </w:rPr>
        <w:t>灯</w:t>
      </w:r>
    </w:p>
    <w:p w:rsidR="00A41667" w:rsidRDefault="00E268B2">
      <w:pPr>
        <w:pStyle w:val="05"/>
        <w:ind w:firstLine="420"/>
        <w:rPr>
          <w:color w:val="auto"/>
        </w:rPr>
      </w:pPr>
      <w:r>
        <w:rPr>
          <w:rFonts w:eastAsia="Times New Roman"/>
          <w:color w:val="auto"/>
        </w:rPr>
        <w:t xml:space="preserve">LED </w:t>
      </w:r>
      <w:r>
        <w:rPr>
          <w:color w:val="auto"/>
        </w:rPr>
        <w:t>灯包括动力电源输出指示灯、系统电源指示灯和通信指示灯。</w:t>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color w:val="auto"/>
        </w:rPr>
        <w:t>动力电源输出指示灯：当动力电源有输出时红色指示灯常亮、动力电源断开时红色指示灯熄灭；</w:t>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color w:val="auto"/>
        </w:rPr>
        <w:t>系统电源指示灯：模块工作时红色系统电源指示灯常亮；</w:t>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color w:val="auto"/>
        </w:rPr>
        <w:t>通信指示灯：模块更新固件时，蓝色通信指示灯会闪烁。</w:t>
      </w:r>
    </w:p>
    <w:p w:rsidR="00A41667" w:rsidRDefault="00E268B2">
      <w:pPr>
        <w:pStyle w:val="05"/>
        <w:ind w:firstLine="422"/>
        <w:rPr>
          <w:b/>
          <w:color w:val="auto"/>
        </w:rPr>
      </w:pPr>
      <w:r>
        <w:rPr>
          <w:b/>
          <w:color w:val="auto"/>
        </w:rPr>
        <w:lastRenderedPageBreak/>
        <w:t>状态指示灯（</w:t>
      </w:r>
      <w:r>
        <w:rPr>
          <w:rFonts w:eastAsia="Times New Roman"/>
          <w:b/>
          <w:color w:val="auto"/>
        </w:rPr>
        <w:t xml:space="preserve">RGB </w:t>
      </w:r>
      <w:r>
        <w:rPr>
          <w:b/>
          <w:color w:val="auto"/>
        </w:rPr>
        <w:t>灯）</w:t>
      </w:r>
    </w:p>
    <w:p w:rsidR="00A41667" w:rsidRDefault="00E268B2">
      <w:pPr>
        <w:pStyle w:val="05"/>
        <w:ind w:firstLine="420"/>
        <w:rPr>
          <w:color w:val="auto"/>
        </w:rPr>
      </w:pPr>
      <w:r>
        <w:rPr>
          <w:color w:val="auto"/>
        </w:rPr>
        <w:t>状态指灯主要分为熄灭、红色、绿色和蓝色四种状态</w:t>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b/>
          <w:color w:val="auto"/>
        </w:rPr>
        <w:t>熄灭：</w:t>
      </w:r>
      <w:r>
        <w:rPr>
          <w:color w:val="auto"/>
        </w:rPr>
        <w:t>电源管理模块上电后会对蓝牙模块进行检测，当检测不到蓝牙模块时</w:t>
      </w:r>
      <w:r>
        <w:rPr>
          <w:color w:val="auto"/>
        </w:rPr>
        <w:t xml:space="preserve"> </w:t>
      </w:r>
      <w:r>
        <w:rPr>
          <w:rFonts w:eastAsia="Times New Roman"/>
          <w:color w:val="auto"/>
        </w:rPr>
        <w:t xml:space="preserve">RGB </w:t>
      </w:r>
      <w:r>
        <w:rPr>
          <w:color w:val="auto"/>
        </w:rPr>
        <w:t>灯为熄灭状态；</w:t>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b/>
          <w:color w:val="auto"/>
        </w:rPr>
        <w:t>红色：</w:t>
      </w:r>
      <w:r>
        <w:rPr>
          <w:color w:val="auto"/>
        </w:rPr>
        <w:t>正常上电后单击按键，</w:t>
      </w:r>
      <w:r>
        <w:rPr>
          <w:rFonts w:eastAsia="Times New Roman"/>
          <w:color w:val="auto"/>
        </w:rPr>
        <w:t xml:space="preserve">RGB </w:t>
      </w:r>
      <w:r>
        <w:rPr>
          <w:color w:val="auto"/>
        </w:rPr>
        <w:t>灯红色闪亮一次；</w:t>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b/>
          <w:color w:val="auto"/>
        </w:rPr>
        <w:t>绿色：</w:t>
      </w:r>
      <w:r>
        <w:rPr>
          <w:color w:val="auto"/>
        </w:rPr>
        <w:t>处于手动赛阶段；</w:t>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b/>
          <w:color w:val="auto"/>
        </w:rPr>
        <w:t>蓝色：</w:t>
      </w:r>
      <w:r>
        <w:rPr>
          <w:color w:val="auto"/>
        </w:rPr>
        <w:t>处于自动赛阶段。</w:t>
      </w:r>
    </w:p>
    <w:p w:rsidR="00A41667" w:rsidRDefault="00E268B2">
      <w:pPr>
        <w:pStyle w:val="05"/>
        <w:ind w:firstLine="420"/>
        <w:rPr>
          <w:color w:val="auto"/>
        </w:rPr>
      </w:pPr>
      <w:r>
        <w:rPr>
          <w:color w:val="auto"/>
        </w:rPr>
        <w:t>数码管</w:t>
      </w:r>
    </w:p>
    <w:p w:rsidR="00A41667" w:rsidRDefault="00E268B2">
      <w:pPr>
        <w:pStyle w:val="05"/>
        <w:ind w:firstLine="420"/>
        <w:rPr>
          <w:color w:val="auto"/>
        </w:rPr>
      </w:pPr>
      <w:r>
        <w:rPr>
          <w:rFonts w:eastAsia="Times New Roman"/>
          <w:color w:val="auto"/>
        </w:rPr>
        <w:t xml:space="preserve">2 </w:t>
      </w:r>
      <w:r>
        <w:rPr>
          <w:color w:val="auto"/>
        </w:rPr>
        <w:t>位数码管主要用于显示无线通信模块当前信道号及系统异常状态。</w:t>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color w:val="auto"/>
        </w:rPr>
        <w:t>正常状态下</w:t>
      </w:r>
      <w:r>
        <w:rPr>
          <w:color w:val="auto"/>
        </w:rPr>
        <w:t xml:space="preserve"> </w:t>
      </w:r>
      <w:r>
        <w:rPr>
          <w:rFonts w:eastAsia="Times New Roman"/>
          <w:color w:val="auto"/>
        </w:rPr>
        <w:t xml:space="preserve">2 </w:t>
      </w:r>
      <w:r>
        <w:rPr>
          <w:color w:val="auto"/>
        </w:rPr>
        <w:t>位数码管显示的是当前无线通信模块的信道号，无线通信模块的信道号为</w:t>
      </w:r>
      <w:r>
        <w:rPr>
          <w:color w:val="auto"/>
        </w:rPr>
        <w:t xml:space="preserve"> </w:t>
      </w:r>
      <w:r>
        <w:rPr>
          <w:rFonts w:eastAsia="Times New Roman"/>
          <w:color w:val="auto"/>
        </w:rPr>
        <w:t>1</w:t>
      </w:r>
      <w:r>
        <w:rPr>
          <w:color w:val="auto"/>
        </w:rPr>
        <w:t>～</w:t>
      </w:r>
      <w:r>
        <w:rPr>
          <w:rFonts w:eastAsia="Times New Roman"/>
          <w:color w:val="auto"/>
        </w:rPr>
        <w:t>40</w:t>
      </w:r>
      <w:r>
        <w:rPr>
          <w:color w:val="auto"/>
        </w:rPr>
        <w:t>，数码管显示的数字即为</w:t>
      </w:r>
      <w:r>
        <w:rPr>
          <w:color w:val="auto"/>
        </w:rPr>
        <w:t xml:space="preserve"> </w:t>
      </w:r>
      <w:r>
        <w:rPr>
          <w:rFonts w:eastAsia="Times New Roman"/>
          <w:color w:val="auto"/>
        </w:rPr>
        <w:t>1</w:t>
      </w:r>
      <w:r>
        <w:rPr>
          <w:color w:val="auto"/>
        </w:rPr>
        <w:t>～</w:t>
      </w:r>
      <w:r>
        <w:rPr>
          <w:rFonts w:eastAsia="Times New Roman"/>
          <w:color w:val="auto"/>
        </w:rPr>
        <w:t>40</w:t>
      </w:r>
      <w:r>
        <w:rPr>
          <w:color w:val="auto"/>
        </w:rPr>
        <w:t>,</w:t>
      </w:r>
      <w:r>
        <w:rPr>
          <w:color w:val="auto"/>
        </w:rPr>
        <w:t>如当前信道为</w:t>
      </w:r>
      <w:r>
        <w:rPr>
          <w:color w:val="auto"/>
        </w:rPr>
        <w:t xml:space="preserve"> </w:t>
      </w:r>
      <w:r>
        <w:rPr>
          <w:rFonts w:eastAsia="Times New Roman"/>
          <w:color w:val="auto"/>
        </w:rPr>
        <w:t xml:space="preserve">16 </w:t>
      </w:r>
      <w:r>
        <w:rPr>
          <w:color w:val="auto"/>
        </w:rPr>
        <w:t>信道，</w:t>
      </w:r>
      <w:r>
        <w:rPr>
          <w:rFonts w:eastAsia="Times New Roman"/>
          <w:color w:val="auto"/>
        </w:rPr>
        <w:t xml:space="preserve">2 </w:t>
      </w:r>
      <w:r>
        <w:rPr>
          <w:color w:val="auto"/>
        </w:rPr>
        <w:t>位数码管显示数字</w:t>
      </w:r>
      <w:r>
        <w:rPr>
          <w:color w:val="auto"/>
        </w:rPr>
        <w:t>“</w:t>
      </w:r>
      <w:r>
        <w:rPr>
          <w:rFonts w:eastAsia="Times New Roman"/>
          <w:color w:val="auto"/>
        </w:rPr>
        <w:t>16</w:t>
      </w:r>
      <w:r>
        <w:rPr>
          <w:color w:val="auto"/>
        </w:rPr>
        <w:t>”</w:t>
      </w:r>
      <w:r>
        <w:rPr>
          <w:color w:val="auto"/>
        </w:rPr>
        <w:t>；</w:t>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color w:val="auto"/>
        </w:rPr>
        <w:t>电源管理模块上电后会对无线通信模块进行检测，当检测不到无线通信模块时</w:t>
      </w:r>
      <w:r>
        <w:rPr>
          <w:color w:val="auto"/>
        </w:rPr>
        <w:t xml:space="preserve"> </w:t>
      </w:r>
      <w:r>
        <w:rPr>
          <w:rFonts w:eastAsia="Times New Roman"/>
          <w:color w:val="auto"/>
        </w:rPr>
        <w:t xml:space="preserve">2 </w:t>
      </w:r>
      <w:r>
        <w:rPr>
          <w:color w:val="auto"/>
        </w:rPr>
        <w:t>位数码管显示字母</w:t>
      </w:r>
      <w:r>
        <w:rPr>
          <w:color w:val="auto"/>
        </w:rPr>
        <w:t>“</w:t>
      </w:r>
      <w:r>
        <w:rPr>
          <w:rFonts w:eastAsia="Times New Roman"/>
          <w:color w:val="auto"/>
        </w:rPr>
        <w:t>Er</w:t>
      </w:r>
      <w:r>
        <w:rPr>
          <w:color w:val="auto"/>
        </w:rPr>
        <w:t>”</w:t>
      </w:r>
      <w:r>
        <w:rPr>
          <w:color w:val="auto"/>
        </w:rPr>
        <w:t>；</w:t>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color w:val="auto"/>
        </w:rPr>
        <w:t>当电池电量低时，</w:t>
      </w:r>
      <w:r>
        <w:rPr>
          <w:rFonts w:eastAsia="Times New Roman"/>
          <w:color w:val="auto"/>
        </w:rPr>
        <w:t xml:space="preserve">2 </w:t>
      </w:r>
      <w:r>
        <w:rPr>
          <w:color w:val="auto"/>
        </w:rPr>
        <w:t>位数码管会交替显示符号</w:t>
      </w:r>
      <w:r>
        <w:rPr>
          <w:color w:val="auto"/>
        </w:rPr>
        <w:t>“–”</w:t>
      </w:r>
      <w:r>
        <w:rPr>
          <w:color w:val="auto"/>
        </w:rPr>
        <w:t>和当前信道号。</w:t>
      </w:r>
    </w:p>
    <w:p w:rsidR="00A41667" w:rsidRDefault="00E268B2">
      <w:pPr>
        <w:pStyle w:val="05"/>
        <w:ind w:firstLine="420"/>
        <w:rPr>
          <w:color w:val="auto"/>
        </w:rPr>
      </w:pPr>
      <w:r>
        <w:rPr>
          <w:color w:val="auto"/>
        </w:rPr>
        <w:t>蜂鸣器</w:t>
      </w:r>
    </w:p>
    <w:p w:rsidR="00A41667" w:rsidRDefault="00E268B2">
      <w:pPr>
        <w:pStyle w:val="05"/>
        <w:ind w:firstLine="420"/>
        <w:rPr>
          <w:color w:val="auto"/>
        </w:rPr>
      </w:pPr>
      <w:r>
        <w:rPr>
          <w:color w:val="auto"/>
        </w:rPr>
        <w:t>蜂鸣器会输出提示及警告音。</w:t>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color w:val="auto"/>
        </w:rPr>
        <w:t>当模块正常上电并检测到无线通信模块在线时，短鸣一声；</w:t>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color w:val="auto"/>
        </w:rPr>
        <w:t>当给电源管理模块复位时，蜂鸣器长鸣</w:t>
      </w:r>
      <w:r>
        <w:rPr>
          <w:color w:val="auto"/>
        </w:rPr>
        <w:t xml:space="preserve"> </w:t>
      </w:r>
      <w:r>
        <w:rPr>
          <w:rFonts w:eastAsia="Times New Roman"/>
          <w:color w:val="auto"/>
        </w:rPr>
        <w:t>2s</w:t>
      </w:r>
      <w:r>
        <w:rPr>
          <w:color w:val="auto"/>
        </w:rPr>
        <w:t>；</w:t>
      </w:r>
    </w:p>
    <w:p w:rsidR="00A41667" w:rsidRDefault="00E268B2">
      <w:pPr>
        <w:pStyle w:val="05"/>
        <w:ind w:firstLine="422"/>
        <w:rPr>
          <w:color w:val="auto"/>
        </w:rPr>
      </w:pPr>
      <w:r>
        <w:rPr>
          <w:rFonts w:ascii="Wingdings" w:eastAsia="Wingdings" w:hAnsi="Wingdings" w:cs="Wingdings"/>
          <w:b/>
          <w:color w:val="auto"/>
        </w:rPr>
        <w:t></w:t>
      </w:r>
      <w:r>
        <w:rPr>
          <w:rFonts w:ascii="Wingdings" w:eastAsia="Wingdings" w:hAnsi="Wingdings" w:cs="Wingdings"/>
          <w:b/>
          <w:color w:val="auto"/>
        </w:rPr>
        <w:tab/>
      </w:r>
      <w:r>
        <w:rPr>
          <w:color w:val="auto"/>
        </w:rPr>
        <w:t>当上电后检测不到无线通</w:t>
      </w:r>
      <w:r>
        <w:rPr>
          <w:b/>
          <w:color w:val="auto"/>
        </w:rPr>
        <w:t>信</w:t>
      </w:r>
      <w:r>
        <w:rPr>
          <w:color w:val="auto"/>
        </w:rPr>
        <w:t>模块时，蜂鸣器会连续鸣响</w:t>
      </w:r>
      <w:r>
        <w:rPr>
          <w:color w:val="auto"/>
        </w:rPr>
        <w:t xml:space="preserve"> 3 </w:t>
      </w:r>
      <w:r>
        <w:rPr>
          <w:color w:val="auto"/>
        </w:rPr>
        <w:t>声。</w:t>
      </w:r>
    </w:p>
    <w:p w:rsidR="00A41667" w:rsidRDefault="00E268B2">
      <w:pPr>
        <w:pStyle w:val="05"/>
        <w:ind w:firstLine="420"/>
        <w:rPr>
          <w:color w:val="auto"/>
        </w:rPr>
      </w:pPr>
      <w:r>
        <w:rPr>
          <w:color w:val="auto"/>
        </w:rPr>
        <w:t>电源管理模块使用</w:t>
      </w:r>
    </w:p>
    <w:p w:rsidR="00A41667" w:rsidRDefault="00E268B2">
      <w:pPr>
        <w:pStyle w:val="05"/>
        <w:ind w:firstLine="420"/>
        <w:rPr>
          <w:color w:val="auto"/>
        </w:rPr>
      </w:pPr>
      <w:r>
        <w:rPr>
          <w:color w:val="auto"/>
        </w:rPr>
        <w:t>多功能按键使用说明</w:t>
      </w:r>
    </w:p>
    <w:p w:rsidR="00A41667" w:rsidRDefault="00E268B2">
      <w:pPr>
        <w:pStyle w:val="05"/>
        <w:ind w:firstLine="420"/>
        <w:rPr>
          <w:color w:val="auto"/>
        </w:rPr>
      </w:pPr>
      <w:r>
        <w:rPr>
          <w:color w:val="auto"/>
        </w:rPr>
        <w:t>多功能按键有复位、单击、双击和长按</w:t>
      </w:r>
      <w:r>
        <w:rPr>
          <w:color w:val="auto"/>
        </w:rPr>
        <w:t xml:space="preserve"> 4 </w:t>
      </w:r>
      <w:r>
        <w:rPr>
          <w:color w:val="auto"/>
        </w:rPr>
        <w:t>种模式。</w:t>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b/>
          <w:color w:val="auto"/>
        </w:rPr>
        <w:t>复位：</w:t>
      </w:r>
      <w:r>
        <w:rPr>
          <w:color w:val="auto"/>
        </w:rPr>
        <w:t>先按下多功能按键，同时将电源管理模块插入航模电池，电源管理模块会恢复默认的配置参数，蜂鸣器长响一声（</w:t>
      </w:r>
      <w:r>
        <w:rPr>
          <w:color w:val="auto"/>
        </w:rPr>
        <w:t>2s</w:t>
      </w:r>
      <w:r>
        <w:rPr>
          <w:color w:val="auto"/>
        </w:rPr>
        <w:t>）</w:t>
      </w:r>
      <w:r>
        <w:rPr>
          <w:color w:val="auto"/>
        </w:rPr>
        <w:t>,</w:t>
      </w:r>
      <w:r>
        <w:rPr>
          <w:color w:val="auto"/>
        </w:rPr>
        <w:t>数码管显示数字</w:t>
      </w:r>
      <w:r>
        <w:rPr>
          <w:color w:val="auto"/>
        </w:rPr>
        <w:t>“</w:t>
      </w:r>
      <w:r>
        <w:rPr>
          <w:rFonts w:eastAsia="Times New Roman"/>
          <w:color w:val="auto"/>
        </w:rPr>
        <w:t>20</w:t>
      </w:r>
      <w:r>
        <w:rPr>
          <w:color w:val="auto"/>
        </w:rPr>
        <w:t>”</w:t>
      </w:r>
      <w:r>
        <w:rPr>
          <w:color w:val="auto"/>
        </w:rPr>
        <w:t>。</w:t>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b/>
          <w:color w:val="auto"/>
        </w:rPr>
        <w:t>单击：</w:t>
      </w:r>
      <w:r>
        <w:rPr>
          <w:color w:val="auto"/>
        </w:rPr>
        <w:t>单击一次多功能按键，电源管理模块会上报一次蓝牙模块</w:t>
      </w:r>
      <w:r>
        <w:rPr>
          <w:color w:val="auto"/>
        </w:rPr>
        <w:t xml:space="preserve"> </w:t>
      </w:r>
      <w:r>
        <w:rPr>
          <w:rFonts w:eastAsia="Times New Roman"/>
          <w:color w:val="auto"/>
        </w:rPr>
        <w:t>UID</w:t>
      </w:r>
      <w:r>
        <w:rPr>
          <w:color w:val="auto"/>
        </w:rPr>
        <w:t xml:space="preserve">, </w:t>
      </w:r>
      <w:r>
        <w:rPr>
          <w:rFonts w:eastAsia="Times New Roman"/>
          <w:color w:val="auto"/>
        </w:rPr>
        <w:t xml:space="preserve">RGB </w:t>
      </w:r>
      <w:r>
        <w:rPr>
          <w:color w:val="auto"/>
        </w:rPr>
        <w:t>灯红色闪亮一次。</w:t>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b/>
          <w:color w:val="auto"/>
        </w:rPr>
        <w:t>双击：</w:t>
      </w:r>
      <w:r>
        <w:rPr>
          <w:color w:val="auto"/>
        </w:rPr>
        <w:t>双击一次多功能按键，电源管理模块将会延时</w:t>
      </w:r>
      <w:r>
        <w:rPr>
          <w:color w:val="auto"/>
        </w:rPr>
        <w:t xml:space="preserve"> </w:t>
      </w:r>
      <w:r>
        <w:rPr>
          <w:rFonts w:eastAsia="Times New Roman"/>
          <w:color w:val="auto"/>
        </w:rPr>
        <w:t xml:space="preserve">3s </w:t>
      </w:r>
      <w:r>
        <w:rPr>
          <w:color w:val="auto"/>
        </w:rPr>
        <w:t>并切换自动程序和手动程序（可通过</w:t>
      </w:r>
      <w:r>
        <w:rPr>
          <w:color w:val="auto"/>
        </w:rPr>
        <w:t xml:space="preserve"> </w:t>
      </w:r>
      <w:r>
        <w:rPr>
          <w:rFonts w:eastAsia="Times New Roman"/>
          <w:color w:val="auto"/>
        </w:rPr>
        <w:t xml:space="preserve">RGB </w:t>
      </w:r>
      <w:r>
        <w:rPr>
          <w:color w:val="auto"/>
        </w:rPr>
        <w:t>指示灯观察状态切换是否成功。自动时</w:t>
      </w:r>
      <w:r>
        <w:rPr>
          <w:color w:val="auto"/>
        </w:rPr>
        <w:t xml:space="preserve"> </w:t>
      </w:r>
      <w:r>
        <w:rPr>
          <w:rFonts w:eastAsia="Times New Roman"/>
          <w:color w:val="auto"/>
        </w:rPr>
        <w:t xml:space="preserve">RGB </w:t>
      </w:r>
      <w:r>
        <w:rPr>
          <w:color w:val="auto"/>
        </w:rPr>
        <w:t>蓝灯常亮，手动时</w:t>
      </w:r>
      <w:r>
        <w:rPr>
          <w:color w:val="auto"/>
        </w:rPr>
        <w:t xml:space="preserve"> </w:t>
      </w:r>
      <w:r>
        <w:rPr>
          <w:rFonts w:eastAsia="Times New Roman"/>
          <w:color w:val="auto"/>
        </w:rPr>
        <w:t xml:space="preserve">RGB </w:t>
      </w:r>
      <w:r>
        <w:rPr>
          <w:color w:val="auto"/>
        </w:rPr>
        <w:t>绿灯长亮，延时切换过程中</w:t>
      </w:r>
      <w:r>
        <w:rPr>
          <w:color w:val="auto"/>
        </w:rPr>
        <w:t xml:space="preserve"> </w:t>
      </w:r>
      <w:r>
        <w:rPr>
          <w:rFonts w:eastAsia="Times New Roman"/>
          <w:color w:val="auto"/>
        </w:rPr>
        <w:t xml:space="preserve">RGB </w:t>
      </w:r>
      <w:r>
        <w:rPr>
          <w:color w:val="auto"/>
        </w:rPr>
        <w:t>灯闪烁）。双击功能仅在蓝牙模块为默认</w:t>
      </w:r>
      <w:r>
        <w:rPr>
          <w:color w:val="auto"/>
        </w:rPr>
        <w:t>“</w:t>
      </w:r>
      <w:r>
        <w:rPr>
          <w:rFonts w:eastAsia="Times New Roman"/>
          <w:color w:val="auto"/>
        </w:rPr>
        <w:t>20</w:t>
      </w:r>
      <w:r>
        <w:rPr>
          <w:color w:val="auto"/>
        </w:rPr>
        <w:t>”</w:t>
      </w:r>
      <w:r>
        <w:rPr>
          <w:color w:val="auto"/>
        </w:rPr>
        <w:t>信道时（即，数码管显示数字</w:t>
      </w:r>
      <w:r>
        <w:rPr>
          <w:color w:val="auto"/>
        </w:rPr>
        <w:t>“</w:t>
      </w:r>
      <w:r>
        <w:rPr>
          <w:rFonts w:eastAsia="Times New Roman"/>
          <w:color w:val="auto"/>
        </w:rPr>
        <w:t>20</w:t>
      </w:r>
      <w:r>
        <w:rPr>
          <w:color w:val="auto"/>
        </w:rPr>
        <w:t>”</w:t>
      </w:r>
      <w:r>
        <w:rPr>
          <w:color w:val="auto"/>
        </w:rPr>
        <w:t>）才有效。</w:t>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b/>
          <w:color w:val="auto"/>
        </w:rPr>
        <w:t>长按：</w:t>
      </w:r>
      <w:r>
        <w:rPr>
          <w:color w:val="auto"/>
        </w:rPr>
        <w:t>长按一次多功能按键（</w:t>
      </w:r>
      <w:r>
        <w:rPr>
          <w:color w:val="auto"/>
        </w:rPr>
        <w:t>2</w:t>
      </w:r>
      <w:r>
        <w:rPr>
          <w:color w:val="auto"/>
        </w:rPr>
        <w:t>～</w:t>
      </w:r>
      <w:r>
        <w:rPr>
          <w:color w:val="auto"/>
        </w:rPr>
        <w:t>3s</w:t>
      </w:r>
      <w:r>
        <w:rPr>
          <w:color w:val="auto"/>
        </w:rPr>
        <w:t>），切换动力电源输出状态。如果当前动力电源为断开状态</w:t>
      </w:r>
      <w:r>
        <w:rPr>
          <w:color w:val="auto"/>
        </w:rPr>
        <w:t>,</w:t>
      </w:r>
      <w:r>
        <w:rPr>
          <w:color w:val="auto"/>
        </w:rPr>
        <w:t>长按后动力电源接通，动力电源输出指示灯显示红色；</w:t>
      </w:r>
      <w:r>
        <w:rPr>
          <w:color w:val="auto"/>
        </w:rPr>
        <w:t xml:space="preserve"> </w:t>
      </w:r>
      <w:r>
        <w:rPr>
          <w:color w:val="auto"/>
        </w:rPr>
        <w:t>当动力电源为接通状态，长按后动力电源断开，动力电源输出指示灯熄灭。</w:t>
      </w:r>
    </w:p>
    <w:p w:rsidR="00A41667" w:rsidRDefault="00E268B2">
      <w:pPr>
        <w:pStyle w:val="05"/>
        <w:ind w:firstLine="420"/>
        <w:rPr>
          <w:color w:val="auto"/>
        </w:rPr>
      </w:pPr>
      <w:r>
        <w:rPr>
          <w:color w:val="auto"/>
        </w:rPr>
        <w:t>自动程序启动信号识别代码</w:t>
      </w:r>
    </w:p>
    <w:p w:rsidR="00A41667" w:rsidRDefault="00E268B2">
      <w:pPr>
        <w:pStyle w:val="05"/>
        <w:ind w:firstLine="420"/>
        <w:rPr>
          <w:color w:val="auto"/>
        </w:rPr>
      </w:pPr>
      <w:r>
        <w:rPr>
          <w:color w:val="auto"/>
        </w:rPr>
        <w:t>在自动控制阶段，比赛系统会给机器人上的电源管理模块发送相关指令来屏蔽遥控器信号并启动机器人的自动程序。为了能够正常启动主控板上的自动程序，编程时需要在程序中插入固定代码来识别比赛系统发送的启动自动程序指令（请把自动阶段的程序和手动控制的程序放入相应的位置）。</w:t>
      </w:r>
    </w:p>
    <w:p w:rsidR="00A41667" w:rsidRDefault="00A41667">
      <w:pPr>
        <w:pStyle w:val="05"/>
        <w:ind w:firstLine="300"/>
        <w:rPr>
          <w:color w:val="auto"/>
          <w:sz w:val="15"/>
        </w:rPr>
      </w:pPr>
    </w:p>
    <w:p w:rsidR="00A41667" w:rsidRDefault="00E268B2">
      <w:pPr>
        <w:pStyle w:val="07"/>
      </w:pPr>
      <w:r>
        <w:rPr>
          <w:noProof/>
          <w:lang w:val="en-US" w:bidi="ar-SA"/>
        </w:rPr>
        <w:drawing>
          <wp:inline distT="0" distB="0" distL="0" distR="0">
            <wp:extent cx="4118610" cy="1809750"/>
            <wp:effectExtent l="0" t="0" r="0" b="0"/>
            <wp:docPr id="1047" name="image22.png"/>
            <wp:cNvGraphicFramePr/>
            <a:graphic xmlns:a="http://schemas.openxmlformats.org/drawingml/2006/main">
              <a:graphicData uri="http://schemas.openxmlformats.org/drawingml/2006/picture">
                <pic:pic xmlns:pic="http://schemas.openxmlformats.org/drawingml/2006/picture">
                  <pic:nvPicPr>
                    <pic:cNvPr id="1047" name="image22.png"/>
                    <pic:cNvPicPr/>
                  </pic:nvPicPr>
                  <pic:blipFill>
                    <a:blip r:embed="rId31" cstate="print"/>
                    <a:srcRect/>
                    <a:stretch>
                      <a:fillRect/>
                    </a:stretch>
                  </pic:blipFill>
                  <pic:spPr>
                    <a:xfrm>
                      <a:off x="0" y="0"/>
                      <a:ext cx="4118610" cy="1809750"/>
                    </a:xfrm>
                    <a:prstGeom prst="rect">
                      <a:avLst/>
                    </a:prstGeom>
                  </pic:spPr>
                </pic:pic>
              </a:graphicData>
            </a:graphic>
          </wp:inline>
        </w:drawing>
      </w:r>
    </w:p>
    <w:p w:rsidR="00A41667" w:rsidRDefault="00E268B2">
      <w:pPr>
        <w:pStyle w:val="05"/>
        <w:ind w:firstLine="422"/>
        <w:rPr>
          <w:b/>
          <w:color w:val="auto"/>
        </w:rPr>
      </w:pPr>
      <w:r>
        <w:rPr>
          <w:b/>
          <w:color w:val="auto"/>
        </w:rPr>
        <w:t>安装使用建议</w:t>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color w:val="auto"/>
        </w:rPr>
        <w:t>电源管理模块为比赛的必备电子器件，请务必保证其安装牢固，建议使用电源管理模块的亚克力盒保护。</w:t>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color w:val="auto"/>
        </w:rPr>
        <w:t>各条连线须保证连接稳固，接线如下图所示：</w:t>
      </w:r>
    </w:p>
    <w:p w:rsidR="00A41667" w:rsidRDefault="00E268B2">
      <w:pPr>
        <w:pStyle w:val="07"/>
        <w:rPr>
          <w:sz w:val="8"/>
        </w:rPr>
      </w:pPr>
      <w:r>
        <w:rPr>
          <w:noProof/>
          <w:lang w:val="en-US" w:bidi="ar-SA"/>
        </w:rPr>
        <w:drawing>
          <wp:inline distT="0" distB="0" distL="0" distR="0">
            <wp:extent cx="3417570" cy="2405380"/>
            <wp:effectExtent l="0" t="0" r="0" b="0"/>
            <wp:docPr id="1048" name="image23.jpeg"/>
            <wp:cNvGraphicFramePr/>
            <a:graphic xmlns:a="http://schemas.openxmlformats.org/drawingml/2006/main">
              <a:graphicData uri="http://schemas.openxmlformats.org/drawingml/2006/picture">
                <pic:pic xmlns:pic="http://schemas.openxmlformats.org/drawingml/2006/picture">
                  <pic:nvPicPr>
                    <pic:cNvPr id="1048" name="image23.jpeg"/>
                    <pic:cNvPicPr/>
                  </pic:nvPicPr>
                  <pic:blipFill>
                    <a:blip r:embed="rId32" cstate="print"/>
                    <a:srcRect/>
                    <a:stretch>
                      <a:fillRect/>
                    </a:stretch>
                  </pic:blipFill>
                  <pic:spPr>
                    <a:xfrm>
                      <a:off x="0" y="0"/>
                      <a:ext cx="3417570" cy="2405380"/>
                    </a:xfrm>
                    <a:prstGeom prst="rect">
                      <a:avLst/>
                    </a:prstGeom>
                  </pic:spPr>
                </pic:pic>
              </a:graphicData>
            </a:graphic>
          </wp:inline>
        </w:drawing>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color w:val="auto"/>
        </w:rPr>
        <w:t>调整天线位置，防止其干扰其它运动器件的动作，尽量避免天线过于贴近大面积金属材料。</w:t>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color w:val="auto"/>
        </w:rPr>
        <w:t>电源管理模块必须安装在机器人的表面且便于扫码（电源管理模块</w:t>
      </w:r>
      <w:r>
        <w:rPr>
          <w:color w:val="auto"/>
        </w:rPr>
        <w:t xml:space="preserve"> </w:t>
      </w:r>
      <w:r>
        <w:rPr>
          <w:rFonts w:eastAsia="Times New Roman"/>
          <w:color w:val="auto"/>
        </w:rPr>
        <w:t>ID</w:t>
      </w:r>
      <w:r>
        <w:rPr>
          <w:color w:val="auto"/>
        </w:rPr>
        <w:t>）的地方。</w:t>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color w:val="auto"/>
        </w:rPr>
        <w:t>比赛现场设有电源管理模块检查点，选手可赛前检测电源管理模块的连接状态。</w:t>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color w:val="auto"/>
        </w:rPr>
        <w:t>比赛开始后的任何阶段，特别是强化改装阶段，不允许进行下列操作：</w:t>
      </w:r>
    </w:p>
    <w:p w:rsidR="00A41667" w:rsidRDefault="00E268B2">
      <w:pPr>
        <w:pStyle w:val="05"/>
        <w:ind w:firstLine="420"/>
        <w:rPr>
          <w:color w:val="auto"/>
        </w:rPr>
      </w:pPr>
      <w:r>
        <w:rPr>
          <w:color w:val="auto"/>
        </w:rPr>
        <w:t>1.</w:t>
      </w:r>
      <w:r>
        <w:rPr>
          <w:color w:val="auto"/>
        </w:rPr>
        <w:tab/>
      </w:r>
      <w:r>
        <w:rPr>
          <w:color w:val="auto"/>
        </w:rPr>
        <w:t>更换航模电池或重新拔插航模电池等；</w:t>
      </w:r>
    </w:p>
    <w:p w:rsidR="00A41667" w:rsidRDefault="00E268B2">
      <w:pPr>
        <w:pStyle w:val="05"/>
        <w:ind w:firstLine="420"/>
        <w:rPr>
          <w:color w:val="auto"/>
        </w:rPr>
      </w:pPr>
      <w:r>
        <w:rPr>
          <w:color w:val="auto"/>
        </w:rPr>
        <w:t>2.</w:t>
      </w:r>
      <w:r>
        <w:rPr>
          <w:color w:val="auto"/>
        </w:rPr>
        <w:tab/>
      </w:r>
      <w:r>
        <w:rPr>
          <w:color w:val="auto"/>
        </w:rPr>
        <w:t>按电源管理模块的复位按钮（禁止对电源管理模块进行任何操作）。</w:t>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color w:val="auto"/>
        </w:rPr>
        <w:t>一场比赛后，需自行给机器人重新供电，通过拔插航模电池，即可完成恢复供电。</w:t>
      </w:r>
    </w:p>
    <w:p w:rsidR="00A41667" w:rsidRDefault="00E268B2">
      <w:pPr>
        <w:pStyle w:val="05"/>
        <w:ind w:firstLine="420"/>
        <w:rPr>
          <w:color w:val="auto"/>
        </w:rPr>
      </w:pPr>
      <w:r>
        <w:rPr>
          <w:rFonts w:ascii="Wingdings" w:eastAsia="Wingdings" w:hAnsi="Wingdings" w:cs="Wingdings"/>
          <w:color w:val="auto"/>
        </w:rPr>
        <w:t></w:t>
      </w:r>
      <w:r>
        <w:rPr>
          <w:rFonts w:ascii="Wingdings" w:eastAsia="Wingdings" w:hAnsi="Wingdings" w:cs="Wingdings"/>
          <w:color w:val="auto"/>
        </w:rPr>
        <w:tab/>
      </w:r>
      <w:r>
        <w:rPr>
          <w:color w:val="auto"/>
        </w:rPr>
        <w:t>电源管理模块与比赛系统中参赛队信息一一对应，请勿擅自更换电源管理模块。如需更换，请联系工作人员。因擅自更换电源模块导致的任何问题由参赛队自行承担。</w:t>
      </w:r>
    </w:p>
    <w:sectPr w:rsidR="00A41667">
      <w:pgSz w:w="11910" w:h="16840"/>
      <w:pgMar w:top="1440" w:right="1077" w:bottom="1440" w:left="1077" w:header="851" w:footer="992" w:gutter="0"/>
      <w:cols w:space="720"/>
      <w:docGrid w:type="lines" w:linePitch="31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68B2" w:rsidRDefault="00E268B2">
      <w:r>
        <w:separator/>
      </w:r>
    </w:p>
  </w:endnote>
  <w:endnote w:type="continuationSeparator" w:id="0">
    <w:p w:rsidR="00E268B2" w:rsidRDefault="00E268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UI">
    <w:panose1 w:val="020B0503020204020204"/>
    <w:charset w:val="86"/>
    <w:family w:val="swiss"/>
    <w:pitch w:val="variable"/>
    <w:sig w:usb0="80000287" w:usb1="2ACF3C50" w:usb2="00000016" w:usb3="00000000" w:csb0="0004001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1667" w:rsidRDefault="00E268B2">
    <w:pPr>
      <w:pStyle w:val="a3"/>
      <w:spacing w:line="14" w:lineRule="auto"/>
      <w:rPr>
        <w:sz w:val="12"/>
      </w:rPr>
    </w:pPr>
    <w:r>
      <w:rPr>
        <w:noProof/>
        <w:lang w:val="en-US" w:bidi="ar-SA"/>
      </w:rPr>
      <mc:AlternateContent>
        <mc:Choice Requires="wps">
          <w:drawing>
            <wp:anchor distT="0" distB="0" distL="0" distR="0" simplePos="0" relativeHeight="1024" behindDoc="1" locked="0" layoutInCell="1" allowOverlap="1">
              <wp:simplePos x="0" y="0"/>
              <wp:positionH relativeFrom="page">
                <wp:posOffset>3686175</wp:posOffset>
              </wp:positionH>
              <wp:positionV relativeFrom="page">
                <wp:posOffset>9920605</wp:posOffset>
              </wp:positionV>
              <wp:extent cx="192405" cy="152400"/>
              <wp:effectExtent l="0" t="0" r="0" b="0"/>
              <wp:wrapNone/>
              <wp:docPr id="4097" name="Text Box 1"/>
              <wp:cNvGraphicFramePr/>
              <a:graphic xmlns:a="http://schemas.openxmlformats.org/drawingml/2006/main">
                <a:graphicData uri="http://schemas.microsoft.com/office/word/2010/wordprocessingShape">
                  <wps:wsp>
                    <wps:cNvSpPr/>
                    <wps:spPr>
                      <a:xfrm>
                        <a:off x="0" y="0"/>
                        <a:ext cx="192404" cy="152400"/>
                      </a:xfrm>
                      <a:prstGeom prst="rect">
                        <a:avLst/>
                      </a:prstGeom>
                      <a:ln>
                        <a:noFill/>
                      </a:ln>
                    </wps:spPr>
                    <wps:txbx>
                      <w:txbxContent>
                        <w:p w:rsidR="00A41667" w:rsidRDefault="00E268B2">
                          <w:pPr>
                            <w:spacing w:before="12"/>
                            <w:ind w:left="60"/>
                            <w:rPr>
                              <w:rFonts w:ascii="Times New Roman"/>
                              <w:sz w:val="18"/>
                            </w:rPr>
                          </w:pPr>
                          <w:r>
                            <w:fldChar w:fldCharType="begin"/>
                          </w:r>
                          <w:r>
                            <w:rPr>
                              <w:rFonts w:ascii="Times New Roman"/>
                              <w:sz w:val="18"/>
                            </w:rPr>
                            <w:instrText xml:space="preserve"> PAGE </w:instrText>
                          </w:r>
                          <w:r>
                            <w:fldChar w:fldCharType="separate"/>
                          </w:r>
                          <w:r w:rsidR="001823A9">
                            <w:rPr>
                              <w:rFonts w:ascii="Times New Roman"/>
                              <w:noProof/>
                              <w:sz w:val="18"/>
                            </w:rPr>
                            <w:t>1</w:t>
                          </w:r>
                          <w:r>
                            <w:fldChar w:fldCharType="end"/>
                          </w:r>
                        </w:p>
                      </w:txbxContent>
                    </wps:txbx>
                    <wps:bodyPr vert="horz" wrap="square" lIns="0" tIns="0" rIns="0" bIns="0" anchor="t" upright="1">
                      <a:noAutofit/>
                    </wps:bodyPr>
                  </wps:wsp>
                </a:graphicData>
              </a:graphic>
            </wp:anchor>
          </w:drawing>
        </mc:Choice>
        <mc:Fallback>
          <w:pict>
            <v:rect id="Text Box 1" o:spid="_x0000_s1026" style="position:absolute;left:0;text-align:left;margin-left:290.25pt;margin-top:781.15pt;width:15.15pt;height:12pt;z-index:-50331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" filled="f" stroked="f">
              <v:textbox inset="0,0,0,0">
                <w:txbxContent>
                  <w:p w:rsidR="00A41667" w:rsidRDefault="00E268B2">
                    <w:pPr>
                      <w:spacing w:before="12"/>
                      <w:ind w:left="60"/>
                      <w:rPr>
                        <w:rFonts w:ascii="Times New Roman"/>
                        <w:sz w:val="18"/>
                      </w:rPr>
                    </w:pPr>
                    <w:r>
                      <w:fldChar w:fldCharType="begin"/>
                    </w:r>
                    <w:r>
                      <w:rPr>
                        <w:rFonts w:ascii="Times New Roman"/>
                        <w:sz w:val="18"/>
                      </w:rPr>
                      <w:instrText xml:space="preserve"> PAGE </w:instrText>
                    </w:r>
                    <w:r>
                      <w:fldChar w:fldCharType="separate"/>
                    </w:r>
                    <w:r w:rsidR="001823A9">
                      <w:rPr>
                        <w:rFonts w:ascii="Times New Roman"/>
                        <w:noProof/>
                        <w:sz w:val="18"/>
                      </w:rPr>
                      <w:t>1</w:t>
                    </w:r>
                    <w:r>
                      <w:fldChar w:fldCharType="end"/>
                    </w:r>
                  </w:p>
                </w:txbxContent>
              </v:textbox>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68B2" w:rsidRDefault="00E268B2">
      <w:r>
        <w:separator/>
      </w:r>
    </w:p>
  </w:footnote>
  <w:footnote w:type="continuationSeparator" w:id="0">
    <w:p w:rsidR="00E268B2" w:rsidRDefault="00E268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multilevel"/>
    <w:tmpl w:val="00000000"/>
    <w:lvl w:ilvl="0">
      <w:start w:val="1"/>
      <w:numFmt w:val="decimalEnclosedParen"/>
      <w:lvlText w:val="%1"/>
      <w:lvlJc w:val="left"/>
      <w:pPr>
        <w:ind w:left="737"/>
      </w:pPr>
      <w:rPr>
        <w:rFonts w:ascii="宋体" w:eastAsia="宋体" w:hAnsi="宋体" w:cs="宋体"/>
        <w:b w:val="0"/>
        <w:i w:val="0"/>
        <w:color w:val="000000"/>
        <w:sz w:val="21"/>
        <w:szCs w:val="21"/>
        <w:u w:val="none" w:color="000000"/>
        <w:shd w:val="clear" w:color="auto" w:fill="auto"/>
        <w:vertAlign w:val="baseline"/>
      </w:rPr>
    </w:lvl>
    <w:lvl w:ilvl="1">
      <w:start w:val="1"/>
      <w:numFmt w:val="lowerLetter"/>
      <w:lvlText w:val="%2"/>
      <w:lvlJc w:val="left"/>
      <w:pPr>
        <w:ind w:left="1500"/>
      </w:pPr>
      <w:rPr>
        <w:rFonts w:ascii="宋体" w:eastAsia="宋体" w:hAnsi="宋体" w:cs="宋体"/>
        <w:b w:val="0"/>
        <w:i w:val="0"/>
        <w:color w:val="000000"/>
        <w:sz w:val="21"/>
        <w:szCs w:val="21"/>
        <w:u w:val="none" w:color="000000"/>
        <w:shd w:val="clear" w:color="auto" w:fill="auto"/>
        <w:vertAlign w:val="baseline"/>
      </w:rPr>
    </w:lvl>
    <w:lvl w:ilvl="2">
      <w:start w:val="1"/>
      <w:numFmt w:val="lowerRoman"/>
      <w:lvlText w:val="%3"/>
      <w:lvlJc w:val="left"/>
      <w:pPr>
        <w:ind w:left="2220"/>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940"/>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3660"/>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4380"/>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5100"/>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820"/>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6540"/>
      </w:pPr>
      <w:rPr>
        <w:rFonts w:ascii="宋体" w:eastAsia="宋体" w:hAnsi="宋体" w:cs="宋体"/>
        <w:b w:val="0"/>
        <w:i w:val="0"/>
        <w:color w:val="000000"/>
        <w:sz w:val="21"/>
        <w:szCs w:val="21"/>
        <w:u w:val="none" w:color="000000"/>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rawingGridVerticalSpacing w:val="317"/>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667"/>
    <w:rsid w:val="001823A9"/>
    <w:rsid w:val="00A41667"/>
    <w:rsid w:val="00E268B2"/>
    <w:rsid w:val="100D65FA"/>
    <w:rsid w:val="2A2114AE"/>
    <w:rsid w:val="49863AFC"/>
    <w:rsid w:val="73F246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EF185AAB-36CF-4C98-8177-A34AF15AE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宋体"/>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header" w:uiPriority="99" w:qFormat="1"/>
    <w:lsdException w:name="footer" w:uiPriority="99" w:qFormat="1"/>
    <w:lsdException w:name="caption" w:semiHidden="1" w:unhideWhenUsed="1" w:qFormat="1"/>
    <w:lsdException w:name="Title" w:qFormat="1"/>
    <w:lsdException w:name="Default Paragraph Font" w:uiPriority="1"/>
    <w:lsdException w:name="Body Text" w:uiPriority="1"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semiHidden="1" w:uiPriority="3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pPr>
    <w:rPr>
      <w:rFonts w:ascii="宋体" w:hAnsi="宋体"/>
      <w:sz w:val="22"/>
      <w:szCs w:val="22"/>
      <w:lang w:val="zh-CN" w:bidi="zh-CN"/>
    </w:rPr>
  </w:style>
  <w:style w:type="paragraph" w:styleId="1">
    <w:name w:val="heading 1"/>
    <w:basedOn w:val="a"/>
    <w:next w:val="a"/>
    <w:link w:val="1Char"/>
    <w:uiPriority w:val="9"/>
    <w:qFormat/>
    <w:pPr>
      <w:spacing w:before="57"/>
      <w:ind w:left="501" w:hanging="282"/>
      <w:outlineLvl w:val="0"/>
    </w:pPr>
    <w:rPr>
      <w:b/>
      <w:bCs/>
      <w:sz w:val="28"/>
      <w:szCs w:val="28"/>
    </w:rPr>
  </w:style>
  <w:style w:type="paragraph" w:styleId="2">
    <w:name w:val="heading 2"/>
    <w:basedOn w:val="a"/>
    <w:next w:val="a"/>
    <w:link w:val="2Char"/>
    <w:uiPriority w:val="9"/>
    <w:qFormat/>
    <w:pPr>
      <w:ind w:left="640" w:hanging="421"/>
      <w:outlineLvl w:val="1"/>
    </w:pPr>
    <w:rPr>
      <w:b/>
      <w:bCs/>
      <w:sz w:val="24"/>
      <w:szCs w:val="24"/>
    </w:rPr>
  </w:style>
  <w:style w:type="paragraph" w:styleId="3">
    <w:name w:val="heading 3"/>
    <w:basedOn w:val="a"/>
    <w:next w:val="a"/>
    <w:link w:val="3Char"/>
    <w:uiPriority w:val="9"/>
    <w:qFormat/>
    <w:pPr>
      <w:spacing w:before="1"/>
      <w:ind w:left="647"/>
      <w:outlineLvl w:val="2"/>
    </w:pPr>
    <w:rPr>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pPr>
      <w:ind w:left="220"/>
    </w:pPr>
    <w:rPr>
      <w:sz w:val="21"/>
      <w:szCs w:val="21"/>
    </w:rPr>
  </w:style>
  <w:style w:type="paragraph" w:styleId="5">
    <w:name w:val="toc 5"/>
    <w:basedOn w:val="a"/>
    <w:next w:val="a"/>
    <w:uiPriority w:val="1"/>
    <w:qFormat/>
    <w:pPr>
      <w:spacing w:before="163"/>
      <w:ind w:left="590" w:hanging="370"/>
    </w:pPr>
    <w:rPr>
      <w:sz w:val="21"/>
      <w:szCs w:val="21"/>
    </w:rPr>
  </w:style>
  <w:style w:type="paragraph" w:styleId="30">
    <w:name w:val="toc 3"/>
    <w:basedOn w:val="a"/>
    <w:next w:val="a"/>
    <w:uiPriority w:val="1"/>
    <w:qFormat/>
    <w:pPr>
      <w:spacing w:before="176"/>
      <w:ind w:left="573" w:hanging="354"/>
    </w:pPr>
    <w:rPr>
      <w:sz w:val="20"/>
      <w:szCs w:val="20"/>
    </w:rPr>
  </w:style>
  <w:style w:type="paragraph" w:styleId="a4">
    <w:name w:val="Balloon Text"/>
    <w:basedOn w:val="a"/>
    <w:link w:val="Char0"/>
    <w:uiPriority w:val="99"/>
    <w:qFormat/>
    <w:rPr>
      <w:sz w:val="18"/>
      <w:szCs w:val="18"/>
    </w:rPr>
  </w:style>
  <w:style w:type="paragraph" w:styleId="a5">
    <w:name w:val="footer"/>
    <w:basedOn w:val="a"/>
    <w:link w:val="Char1"/>
    <w:uiPriority w:val="99"/>
    <w:qFormat/>
    <w:pPr>
      <w:tabs>
        <w:tab w:val="center" w:pos="4153"/>
        <w:tab w:val="right" w:pos="8306"/>
      </w:tabs>
      <w:snapToGrid w:val="0"/>
    </w:pPr>
    <w:rPr>
      <w:sz w:val="18"/>
      <w:szCs w:val="18"/>
    </w:rPr>
  </w:style>
  <w:style w:type="paragraph" w:styleId="a6">
    <w:name w:val="header"/>
    <w:basedOn w:val="a"/>
    <w:link w:val="Char2"/>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1"/>
    <w:qFormat/>
    <w:pPr>
      <w:spacing w:before="270"/>
      <w:ind w:left="460" w:hanging="241"/>
    </w:pPr>
    <w:rPr>
      <w:b/>
      <w:bCs/>
      <w:sz w:val="24"/>
      <w:szCs w:val="24"/>
    </w:rPr>
  </w:style>
  <w:style w:type="paragraph" w:styleId="4">
    <w:name w:val="toc 4"/>
    <w:basedOn w:val="a"/>
    <w:next w:val="a"/>
    <w:uiPriority w:val="1"/>
    <w:qFormat/>
    <w:pPr>
      <w:spacing w:before="260"/>
      <w:ind w:left="220"/>
    </w:pPr>
    <w:rPr>
      <w:b/>
      <w:bCs/>
      <w:sz w:val="24"/>
      <w:szCs w:val="24"/>
    </w:rPr>
  </w:style>
  <w:style w:type="paragraph" w:styleId="6">
    <w:name w:val="toc 6"/>
    <w:basedOn w:val="a"/>
    <w:next w:val="a"/>
    <w:uiPriority w:val="1"/>
    <w:qFormat/>
    <w:pPr>
      <w:spacing w:before="166"/>
      <w:ind w:left="220"/>
    </w:pPr>
    <w:rPr>
      <w:rFonts w:ascii="Times New Roman" w:eastAsia="Times New Roman" w:hAnsi="Times New Roman" w:cs="Times New Roman"/>
      <w:sz w:val="20"/>
      <w:szCs w:val="20"/>
    </w:rPr>
  </w:style>
  <w:style w:type="paragraph" w:styleId="20">
    <w:name w:val="toc 2"/>
    <w:basedOn w:val="a"/>
    <w:next w:val="a"/>
    <w:uiPriority w:val="1"/>
    <w:qFormat/>
    <w:pPr>
      <w:spacing w:before="163"/>
      <w:ind w:left="537" w:hanging="318"/>
    </w:pPr>
    <w:rPr>
      <w:rFonts w:ascii="Times New Roman" w:hAnsi="Times New Roman"/>
      <w:sz w:val="21"/>
      <w:szCs w:val="21"/>
    </w:rPr>
  </w:style>
  <w:style w:type="table" w:styleId="a7">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qFormat/>
    <w:rPr>
      <w:color w:val="0000FF"/>
      <w:u w:val="single"/>
    </w:rPr>
  </w:style>
  <w:style w:type="table" w:customStyle="1" w:styleId="TableNormal">
    <w:name w:val="Table Normal"/>
    <w:uiPriority w:val="2"/>
    <w:qFormat/>
    <w:tblPr>
      <w:tblCellMar>
        <w:top w:w="0" w:type="dxa"/>
        <w:left w:w="0" w:type="dxa"/>
        <w:bottom w:w="0" w:type="dxa"/>
        <w:right w:w="0" w:type="dxa"/>
      </w:tblCellMar>
    </w:tblPr>
  </w:style>
  <w:style w:type="paragraph" w:styleId="a9">
    <w:name w:val="List Paragraph"/>
    <w:basedOn w:val="a"/>
    <w:uiPriority w:val="34"/>
    <w:qFormat/>
    <w:pPr>
      <w:ind w:left="640" w:hanging="421"/>
    </w:pPr>
  </w:style>
  <w:style w:type="paragraph" w:customStyle="1" w:styleId="TableParagraph">
    <w:name w:val="Table Paragraph"/>
    <w:basedOn w:val="a"/>
    <w:uiPriority w:val="1"/>
    <w:qFormat/>
  </w:style>
  <w:style w:type="character" w:customStyle="1" w:styleId="Char0">
    <w:name w:val="批注框文本 Char"/>
    <w:basedOn w:val="a0"/>
    <w:link w:val="a4"/>
    <w:uiPriority w:val="99"/>
    <w:qFormat/>
    <w:rPr>
      <w:rFonts w:ascii="宋体" w:eastAsia="宋体" w:hAnsi="宋体" w:cs="宋体"/>
      <w:kern w:val="0"/>
      <w:sz w:val="18"/>
      <w:szCs w:val="18"/>
      <w:lang w:val="zh-CN" w:bidi="zh-CN"/>
    </w:rPr>
  </w:style>
  <w:style w:type="character" w:customStyle="1" w:styleId="Char2">
    <w:name w:val="页眉 Char"/>
    <w:basedOn w:val="a0"/>
    <w:link w:val="a6"/>
    <w:uiPriority w:val="99"/>
    <w:qFormat/>
    <w:rPr>
      <w:rFonts w:ascii="宋体" w:eastAsia="宋体" w:hAnsi="宋体" w:cs="宋体"/>
      <w:kern w:val="0"/>
      <w:sz w:val="18"/>
      <w:szCs w:val="18"/>
      <w:lang w:val="zh-CN" w:bidi="zh-CN"/>
    </w:rPr>
  </w:style>
  <w:style w:type="character" w:customStyle="1" w:styleId="Char1">
    <w:name w:val="页脚 Char"/>
    <w:basedOn w:val="a0"/>
    <w:link w:val="a5"/>
    <w:uiPriority w:val="99"/>
    <w:qFormat/>
    <w:rPr>
      <w:rFonts w:ascii="宋体" w:eastAsia="宋体" w:hAnsi="宋体" w:cs="宋体"/>
      <w:kern w:val="0"/>
      <w:sz w:val="18"/>
      <w:szCs w:val="18"/>
      <w:lang w:val="zh-CN" w:bidi="zh-CN"/>
    </w:rPr>
  </w:style>
  <w:style w:type="paragraph" w:customStyle="1" w:styleId="01">
    <w:name w:val="01"/>
    <w:basedOn w:val="1"/>
    <w:link w:val="01Char"/>
    <w:qFormat/>
    <w:pPr>
      <w:tabs>
        <w:tab w:val="left" w:pos="502"/>
      </w:tabs>
      <w:spacing w:beforeLines="50" w:before="50" w:afterLines="50" w:after="50"/>
      <w:ind w:left="0" w:firstLine="0"/>
      <w:jc w:val="both"/>
    </w:pPr>
    <w:rPr>
      <w:rFonts w:ascii="Times New Roman" w:hAnsi="Times New Roman" w:cs="Times New Roman"/>
      <w:color w:val="E6223B"/>
    </w:rPr>
  </w:style>
  <w:style w:type="character" w:customStyle="1" w:styleId="01Char">
    <w:name w:val="01 Char"/>
    <w:basedOn w:val="1Char"/>
    <w:link w:val="01"/>
    <w:qFormat/>
    <w:rPr>
      <w:rFonts w:ascii="Times New Roman" w:eastAsia="宋体" w:hAnsi="Times New Roman" w:cs="Times New Roman"/>
      <w:b/>
      <w:bCs/>
      <w:color w:val="E6223B"/>
      <w:kern w:val="0"/>
      <w:sz w:val="28"/>
      <w:szCs w:val="28"/>
      <w:lang w:val="zh-CN" w:bidi="zh-CN"/>
    </w:rPr>
  </w:style>
  <w:style w:type="character" w:customStyle="1" w:styleId="1Char">
    <w:name w:val="标题 1 Char"/>
    <w:basedOn w:val="a0"/>
    <w:link w:val="1"/>
    <w:uiPriority w:val="9"/>
    <w:qFormat/>
    <w:rPr>
      <w:rFonts w:ascii="宋体" w:eastAsia="宋体" w:hAnsi="宋体" w:cs="宋体"/>
      <w:b/>
      <w:bCs/>
      <w:kern w:val="0"/>
      <w:sz w:val="28"/>
      <w:szCs w:val="28"/>
      <w:lang w:val="zh-CN" w:bidi="zh-CN"/>
    </w:rPr>
  </w:style>
  <w:style w:type="paragraph" w:customStyle="1" w:styleId="02">
    <w:name w:val="02"/>
    <w:basedOn w:val="2"/>
    <w:link w:val="02Char"/>
    <w:qFormat/>
    <w:pPr>
      <w:tabs>
        <w:tab w:val="left" w:pos="581"/>
      </w:tabs>
      <w:autoSpaceDE/>
      <w:autoSpaceDN/>
      <w:snapToGrid w:val="0"/>
      <w:spacing w:line="360" w:lineRule="auto"/>
      <w:ind w:left="0" w:firstLine="0"/>
      <w:contextualSpacing/>
      <w:jc w:val="both"/>
    </w:pPr>
    <w:rPr>
      <w:rFonts w:ascii="Times New Roman" w:hAnsi="Times New Roman" w:cs="Times New Roman"/>
      <w:color w:val="E6223B"/>
    </w:rPr>
  </w:style>
  <w:style w:type="character" w:customStyle="1" w:styleId="02Char">
    <w:name w:val="02 Char"/>
    <w:basedOn w:val="2Char"/>
    <w:link w:val="02"/>
    <w:qFormat/>
    <w:rPr>
      <w:rFonts w:ascii="Times New Roman" w:eastAsia="宋体" w:hAnsi="Times New Roman" w:cs="Times New Roman"/>
      <w:b/>
      <w:bCs/>
      <w:color w:val="E6223B"/>
      <w:kern w:val="0"/>
      <w:sz w:val="24"/>
      <w:szCs w:val="24"/>
      <w:lang w:val="zh-CN" w:bidi="zh-CN"/>
    </w:rPr>
  </w:style>
  <w:style w:type="character" w:customStyle="1" w:styleId="2Char">
    <w:name w:val="标题 2 Char"/>
    <w:basedOn w:val="a0"/>
    <w:link w:val="2"/>
    <w:uiPriority w:val="9"/>
    <w:rPr>
      <w:rFonts w:ascii="宋体" w:eastAsia="宋体" w:hAnsi="宋体" w:cs="宋体"/>
      <w:b/>
      <w:bCs/>
      <w:kern w:val="0"/>
      <w:sz w:val="24"/>
      <w:szCs w:val="24"/>
      <w:lang w:val="zh-CN" w:bidi="zh-CN"/>
    </w:rPr>
  </w:style>
  <w:style w:type="paragraph" w:customStyle="1" w:styleId="05">
    <w:name w:val="05"/>
    <w:basedOn w:val="a3"/>
    <w:link w:val="05Char"/>
    <w:qFormat/>
    <w:pPr>
      <w:autoSpaceDE/>
      <w:autoSpaceDN/>
      <w:adjustRightInd w:val="0"/>
      <w:snapToGrid w:val="0"/>
      <w:spacing w:line="360" w:lineRule="auto"/>
      <w:ind w:left="0" w:firstLineChars="200" w:firstLine="200"/>
      <w:jc w:val="both"/>
    </w:pPr>
    <w:rPr>
      <w:rFonts w:ascii="Times New Roman" w:hAnsi="Times New Roman" w:cs="Times New Roman"/>
      <w:color w:val="000000"/>
    </w:rPr>
  </w:style>
  <w:style w:type="character" w:customStyle="1" w:styleId="05Char">
    <w:name w:val="05 Char"/>
    <w:basedOn w:val="Char"/>
    <w:link w:val="05"/>
    <w:rPr>
      <w:rFonts w:ascii="Times New Roman" w:eastAsia="宋体" w:hAnsi="Times New Roman" w:cs="Times New Roman"/>
      <w:color w:val="000000"/>
      <w:kern w:val="0"/>
      <w:sz w:val="21"/>
      <w:szCs w:val="21"/>
      <w:lang w:val="zh-CN" w:bidi="zh-CN"/>
    </w:rPr>
  </w:style>
  <w:style w:type="character" w:customStyle="1" w:styleId="Char">
    <w:name w:val="正文文本 Char"/>
    <w:basedOn w:val="a0"/>
    <w:link w:val="a3"/>
    <w:uiPriority w:val="1"/>
    <w:rPr>
      <w:rFonts w:ascii="宋体" w:eastAsia="宋体" w:hAnsi="宋体" w:cs="宋体"/>
      <w:kern w:val="0"/>
      <w:szCs w:val="21"/>
      <w:lang w:val="zh-CN" w:bidi="zh-CN"/>
    </w:rPr>
  </w:style>
  <w:style w:type="paragraph" w:customStyle="1" w:styleId="06">
    <w:name w:val="06"/>
    <w:basedOn w:val="05"/>
    <w:link w:val="06Char"/>
    <w:qFormat/>
    <w:pPr>
      <w:ind w:firstLineChars="0" w:firstLine="0"/>
      <w:jc w:val="center"/>
    </w:pPr>
    <w:rPr>
      <w:b/>
    </w:rPr>
  </w:style>
  <w:style w:type="character" w:customStyle="1" w:styleId="06Char">
    <w:name w:val="06 Char"/>
    <w:basedOn w:val="05Char"/>
    <w:link w:val="06"/>
    <w:rPr>
      <w:rFonts w:ascii="Times New Roman" w:eastAsia="宋体" w:hAnsi="Times New Roman" w:cs="Times New Roman"/>
      <w:b/>
      <w:color w:val="000000"/>
      <w:kern w:val="0"/>
      <w:sz w:val="21"/>
      <w:szCs w:val="21"/>
      <w:lang w:val="zh-CN" w:bidi="zh-CN"/>
    </w:rPr>
  </w:style>
  <w:style w:type="paragraph" w:customStyle="1" w:styleId="07">
    <w:name w:val="07"/>
    <w:basedOn w:val="a3"/>
    <w:link w:val="07Char"/>
    <w:qFormat/>
    <w:pPr>
      <w:ind w:left="0"/>
      <w:jc w:val="center"/>
    </w:pPr>
    <w:rPr>
      <w:rFonts w:ascii="Times New Roman" w:hAnsi="Times New Roman" w:cs="Times New Roman"/>
    </w:rPr>
  </w:style>
  <w:style w:type="character" w:customStyle="1" w:styleId="07Char">
    <w:name w:val="07 Char"/>
    <w:basedOn w:val="Char"/>
    <w:link w:val="07"/>
    <w:rPr>
      <w:rFonts w:ascii="Times New Roman" w:eastAsia="宋体" w:hAnsi="Times New Roman" w:cs="Times New Roman"/>
      <w:kern w:val="0"/>
      <w:szCs w:val="21"/>
      <w:lang w:val="zh-CN" w:bidi="zh-CN"/>
    </w:rPr>
  </w:style>
  <w:style w:type="paragraph" w:customStyle="1" w:styleId="00">
    <w:name w:val="00"/>
    <w:basedOn w:val="a"/>
    <w:link w:val="00Char"/>
    <w:qFormat/>
    <w:pPr>
      <w:spacing w:beforeLines="50" w:before="158" w:afterLines="50" w:after="158"/>
      <w:jc w:val="center"/>
    </w:pPr>
    <w:rPr>
      <w:rFonts w:ascii="Times New Roman" w:hAnsi="Times New Roman" w:cs="Times New Roman"/>
      <w:b/>
      <w:sz w:val="44"/>
      <w:szCs w:val="44"/>
    </w:rPr>
  </w:style>
  <w:style w:type="character" w:customStyle="1" w:styleId="00Char">
    <w:name w:val="00 Char"/>
    <w:basedOn w:val="a0"/>
    <w:link w:val="00"/>
    <w:rPr>
      <w:rFonts w:ascii="Times New Roman" w:eastAsia="宋体" w:hAnsi="Times New Roman" w:cs="Times New Roman"/>
      <w:b/>
      <w:kern w:val="0"/>
      <w:sz w:val="44"/>
      <w:szCs w:val="44"/>
      <w:lang w:val="zh-CN" w:bidi="zh-CN"/>
    </w:rPr>
  </w:style>
  <w:style w:type="paragraph" w:customStyle="1" w:styleId="00-1">
    <w:name w:val="00-1"/>
    <w:basedOn w:val="a"/>
    <w:link w:val="00-1Char"/>
    <w:qFormat/>
    <w:pPr>
      <w:spacing w:beforeLines="100" w:before="317" w:afterLines="100" w:after="317"/>
      <w:jc w:val="center"/>
    </w:pPr>
    <w:rPr>
      <w:rFonts w:ascii="Times New Roman" w:hAnsi="Times New Roman" w:cs="Times New Roman"/>
      <w:b/>
      <w:sz w:val="24"/>
    </w:rPr>
  </w:style>
  <w:style w:type="character" w:customStyle="1" w:styleId="00-1Char">
    <w:name w:val="00-1 Char"/>
    <w:basedOn w:val="a0"/>
    <w:link w:val="00-1"/>
    <w:rPr>
      <w:rFonts w:ascii="Times New Roman" w:eastAsia="宋体" w:hAnsi="Times New Roman" w:cs="Times New Roman"/>
      <w:b/>
      <w:kern w:val="0"/>
      <w:sz w:val="24"/>
      <w:lang w:val="zh-CN" w:bidi="zh-CN"/>
    </w:rPr>
  </w:style>
  <w:style w:type="character" w:customStyle="1" w:styleId="3Char">
    <w:name w:val="标题 3 Char"/>
    <w:basedOn w:val="a0"/>
    <w:link w:val="3"/>
    <w:uiPriority w:val="9"/>
    <w:rPr>
      <w:rFonts w:ascii="宋体" w:eastAsia="宋体" w:hAnsi="宋体" w:cs="宋体"/>
      <w:b/>
      <w:bCs/>
      <w:kern w:val="0"/>
      <w:szCs w:val="21"/>
      <w:lang w:val="zh-CN" w:bidi="zh-CN"/>
    </w:rPr>
  </w:style>
  <w:style w:type="paragraph" w:customStyle="1" w:styleId="08">
    <w:name w:val="08"/>
    <w:basedOn w:val="05"/>
    <w:link w:val="08Char"/>
    <w:qFormat/>
    <w:pPr>
      <w:ind w:firstLine="422"/>
    </w:pPr>
    <w:rPr>
      <w:b/>
      <w:color w:val="0070C0"/>
    </w:rPr>
  </w:style>
  <w:style w:type="character" w:customStyle="1" w:styleId="08Char">
    <w:name w:val="08 Char"/>
    <w:basedOn w:val="05Char"/>
    <w:link w:val="08"/>
    <w:rPr>
      <w:rFonts w:ascii="Times New Roman" w:eastAsia="宋体" w:hAnsi="Times New Roman" w:cs="Times New Roman"/>
      <w:b/>
      <w:color w:val="0070C0"/>
      <w:kern w:val="0"/>
      <w:sz w:val="21"/>
      <w:szCs w:val="21"/>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16473B-2675-455F-AC00-84B995E9E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3081</Words>
  <Characters>17562</Characters>
  <Application>Microsoft Office Word</Application>
  <DocSecurity>0</DocSecurity>
  <Lines>146</Lines>
  <Paragraphs>41</Paragraphs>
  <ScaleCrop>false</ScaleCrop>
  <Company>Micorosoft</Company>
  <LinksUpToDate>false</LinksUpToDate>
  <CharactersWithSpaces>20602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MakeX组委会</dc:creator>
  <cp:keywords>MakeX组委会</cp:keywords>
  <cp:lastModifiedBy>jlhs</cp:lastModifiedBy>
  <cp:revision>5</cp:revision>
  <dcterms:created xsi:type="dcterms:W3CDTF">2021-03-23T04:26:00Z</dcterms:created>
  <dcterms:modified xsi:type="dcterms:W3CDTF">2021-04-12T14:25:00Z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2020-03-16T00:00:00Z</vt:filetime>
  </property>
  <property fmtid="{D5CDD505-2E9C-101B-9397-08002B2CF9AE}" pid="3" name="Creator">
    <vt:lpwstr>Microsoft® Word 2013</vt:lpwstr>
  </property>
  <property fmtid="{D5CDD505-2E9C-101B-9397-08002B2CF9AE}" pid="4" name="LastSaved">
    <vt:filetime>2020-03-18T00:00:00Z</vt:filetime>
  </property>
  <property fmtid="{D5CDD505-2E9C-101B-9397-08002B2CF9AE}" pid="5" name="KSOProductBuildVer">
    <vt:lpwstr>2052-11.1.0.10228</vt:lpwstr>
  </property>
  <property fmtid="{D5CDD505-2E9C-101B-9397-08002B2CF9AE}" pid="6" name="ICV">
    <vt:lpwstr>bd2b1b1d4f564b1493f959e32aa45b33</vt:lpwstr>
  </property>
</Properties>
</file>